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6A0E1">
      <w:pPr>
        <w:jc w:val="center"/>
        <w:rPr>
          <w:rFonts w:hint="default" w:ascii="Times New Roman" w:hAnsi="Times New Roman" w:eastAsia="黑体" w:cs="Times New Roman"/>
          <w:b/>
          <w:bCs/>
          <w:sz w:val="52"/>
          <w:szCs w:val="52"/>
        </w:rPr>
      </w:pPr>
    </w:p>
    <w:p w14:paraId="35BF28CD">
      <w:pPr>
        <w:jc w:val="center"/>
        <w:rPr>
          <w:rFonts w:hint="default" w:ascii="Times New Roman" w:hAnsi="Times New Roman" w:eastAsia="黑体" w:cs="Times New Roman"/>
          <w:b/>
          <w:bCs/>
          <w:sz w:val="52"/>
          <w:szCs w:val="52"/>
        </w:rPr>
      </w:pPr>
    </w:p>
    <w:p w14:paraId="37AFBEAB">
      <w:pPr>
        <w:jc w:val="center"/>
        <w:rPr>
          <w:rFonts w:hint="default" w:ascii="Times New Roman" w:hAnsi="Times New Roman" w:eastAsia="黑体" w:cs="Times New Roman"/>
          <w:b/>
          <w:bCs/>
          <w:sz w:val="52"/>
          <w:szCs w:val="52"/>
        </w:rPr>
      </w:pPr>
    </w:p>
    <w:p w14:paraId="1F1EEF46">
      <w:pPr>
        <w:jc w:val="center"/>
        <w:rPr>
          <w:rFonts w:hint="default" w:ascii="Times New Roman" w:hAnsi="Times New Roman" w:eastAsia="黑体" w:cs="Times New Roman"/>
          <w:b/>
          <w:bCs/>
          <w:sz w:val="52"/>
          <w:szCs w:val="52"/>
        </w:rPr>
      </w:pPr>
    </w:p>
    <w:p w14:paraId="51C2BBC0">
      <w:pPr>
        <w:jc w:val="center"/>
        <w:rPr>
          <w:rFonts w:hint="default" w:ascii="Times New Roman" w:hAnsi="Times New Roman" w:eastAsia="黑体" w:cs="Times New Roman"/>
          <w:b/>
          <w:bCs/>
          <w:sz w:val="52"/>
          <w:szCs w:val="52"/>
        </w:rPr>
      </w:pPr>
      <w:r>
        <w:rPr>
          <w:rFonts w:hint="default" w:ascii="Times New Roman" w:hAnsi="Times New Roman" w:eastAsia="黑体" w:cs="Times New Roman"/>
          <w:b/>
          <w:bCs/>
          <w:sz w:val="52"/>
          <w:szCs w:val="52"/>
        </w:rPr>
        <w:t>玉溪高新技术产业开发区</w:t>
      </w:r>
    </w:p>
    <w:p w14:paraId="01AC5CF1">
      <w:pPr>
        <w:jc w:val="center"/>
        <w:rPr>
          <w:rFonts w:hint="default" w:ascii="Times New Roman" w:hAnsi="Times New Roman" w:eastAsia="黑体" w:cs="Times New Roman"/>
          <w:b/>
          <w:bCs/>
          <w:sz w:val="52"/>
          <w:szCs w:val="52"/>
        </w:rPr>
      </w:pPr>
      <w:bookmarkStart w:id="0" w:name="_Hlk44343932"/>
      <w:r>
        <w:rPr>
          <w:rFonts w:hint="eastAsia" w:ascii="Times New Roman" w:hAnsi="Times New Roman" w:eastAsia="黑体" w:cs="Times New Roman"/>
          <w:b/>
          <w:bCs/>
          <w:sz w:val="52"/>
          <w:szCs w:val="52"/>
          <w:lang w:eastAsia="zh-CN"/>
        </w:rPr>
        <w:t>“</w:t>
      </w:r>
      <w:r>
        <w:rPr>
          <w:rFonts w:hint="default" w:ascii="Times New Roman" w:hAnsi="Times New Roman" w:eastAsia="黑体" w:cs="Times New Roman"/>
          <w:b/>
          <w:bCs/>
          <w:sz w:val="52"/>
          <w:szCs w:val="52"/>
        </w:rPr>
        <w:t>十四五</w:t>
      </w:r>
      <w:r>
        <w:rPr>
          <w:rFonts w:hint="eastAsia" w:ascii="Times New Roman" w:hAnsi="Times New Roman" w:eastAsia="黑体" w:cs="Times New Roman"/>
          <w:b/>
          <w:bCs/>
          <w:sz w:val="52"/>
          <w:szCs w:val="52"/>
          <w:lang w:eastAsia="zh-CN"/>
        </w:rPr>
        <w:t>”</w:t>
      </w:r>
      <w:r>
        <w:rPr>
          <w:rFonts w:hint="default" w:ascii="Times New Roman" w:hAnsi="Times New Roman" w:eastAsia="黑体" w:cs="Times New Roman"/>
          <w:b/>
          <w:bCs/>
          <w:sz w:val="52"/>
          <w:szCs w:val="52"/>
        </w:rPr>
        <w:t>发展规划纲要</w:t>
      </w:r>
    </w:p>
    <w:bookmarkEnd w:id="0"/>
    <w:p w14:paraId="7D99BDC2">
      <w:pPr>
        <w:jc w:val="center"/>
        <w:rPr>
          <w:rFonts w:hint="default" w:ascii="Times New Roman" w:hAnsi="Times New Roman" w:eastAsia="黑体" w:cs="Times New Roman"/>
          <w:b/>
          <w:bCs/>
          <w:sz w:val="48"/>
          <w:szCs w:val="52"/>
        </w:rPr>
      </w:pPr>
    </w:p>
    <w:p w14:paraId="70918F54">
      <w:pPr>
        <w:jc w:val="center"/>
        <w:rPr>
          <w:rFonts w:hint="default" w:ascii="Times New Roman" w:hAnsi="Times New Roman" w:eastAsia="黑体" w:cs="Times New Roman"/>
          <w:b/>
          <w:bCs/>
          <w:sz w:val="48"/>
          <w:szCs w:val="52"/>
        </w:rPr>
      </w:pPr>
    </w:p>
    <w:p w14:paraId="4FFC5D29">
      <w:pPr>
        <w:jc w:val="center"/>
        <w:rPr>
          <w:rFonts w:hint="default" w:ascii="Times New Roman" w:hAnsi="Times New Roman" w:eastAsia="黑体" w:cs="Times New Roman"/>
          <w:b/>
          <w:bCs/>
          <w:sz w:val="48"/>
          <w:szCs w:val="52"/>
        </w:rPr>
      </w:pPr>
    </w:p>
    <w:p w14:paraId="6323ED2E">
      <w:pPr>
        <w:jc w:val="center"/>
        <w:rPr>
          <w:rFonts w:hint="default" w:ascii="Times New Roman" w:hAnsi="Times New Roman" w:eastAsia="黑体" w:cs="Times New Roman"/>
          <w:b/>
          <w:bCs/>
          <w:sz w:val="48"/>
          <w:szCs w:val="52"/>
        </w:rPr>
      </w:pPr>
    </w:p>
    <w:p w14:paraId="453118EB">
      <w:pPr>
        <w:jc w:val="center"/>
        <w:rPr>
          <w:rFonts w:hint="default" w:ascii="Times New Roman" w:hAnsi="Times New Roman" w:eastAsia="黑体" w:cs="Times New Roman"/>
          <w:b/>
          <w:bCs/>
          <w:sz w:val="48"/>
          <w:szCs w:val="52"/>
        </w:rPr>
      </w:pPr>
    </w:p>
    <w:p w14:paraId="0FFE1BAA">
      <w:pPr>
        <w:jc w:val="center"/>
        <w:rPr>
          <w:rFonts w:hint="default" w:ascii="Times New Roman" w:hAnsi="Times New Roman" w:eastAsia="黑体" w:cs="Times New Roman"/>
          <w:b/>
          <w:bCs/>
          <w:sz w:val="48"/>
          <w:szCs w:val="52"/>
        </w:rPr>
      </w:pPr>
    </w:p>
    <w:p w14:paraId="346A977D">
      <w:pPr>
        <w:jc w:val="center"/>
        <w:rPr>
          <w:rFonts w:hint="default" w:ascii="Times New Roman" w:hAnsi="Times New Roman" w:eastAsia="黑体" w:cs="Times New Roman"/>
          <w:b/>
          <w:bCs/>
          <w:sz w:val="48"/>
          <w:szCs w:val="52"/>
        </w:rPr>
      </w:pPr>
    </w:p>
    <w:p w14:paraId="1F92CCDD">
      <w:pPr>
        <w:jc w:val="center"/>
        <w:rPr>
          <w:rFonts w:hint="default" w:ascii="Times New Roman" w:hAnsi="Times New Roman" w:eastAsia="黑体" w:cs="Times New Roman"/>
          <w:b/>
          <w:bCs/>
          <w:sz w:val="48"/>
          <w:szCs w:val="52"/>
        </w:rPr>
      </w:pPr>
    </w:p>
    <w:p w14:paraId="6D8D637A">
      <w:pPr>
        <w:jc w:val="center"/>
        <w:rPr>
          <w:rFonts w:hint="default" w:ascii="Times New Roman" w:hAnsi="Times New Roman" w:eastAsia="黑体" w:cs="Times New Roman"/>
          <w:b/>
          <w:bCs/>
          <w:sz w:val="48"/>
          <w:szCs w:val="52"/>
        </w:rPr>
      </w:pPr>
    </w:p>
    <w:p w14:paraId="5BEF2FC6">
      <w:pPr>
        <w:jc w:val="center"/>
        <w:rPr>
          <w:rFonts w:hint="default" w:ascii="Times New Roman" w:hAnsi="Times New Roman" w:eastAsia="黑体" w:cs="Times New Roman"/>
          <w:b/>
          <w:bCs/>
          <w:sz w:val="48"/>
          <w:szCs w:val="52"/>
        </w:rPr>
      </w:pPr>
    </w:p>
    <w:p w14:paraId="1238EB22">
      <w:pPr>
        <w:spacing w:line="360" w:lineRule="auto"/>
        <w:jc w:val="center"/>
        <w:rPr>
          <w:rFonts w:hint="default" w:ascii="Times New Roman" w:hAnsi="Times New Roman" w:eastAsia="黑体" w:cs="Times New Roman"/>
          <w:bCs/>
          <w:spacing w:val="-4"/>
          <w:sz w:val="32"/>
          <w:szCs w:val="48"/>
        </w:rPr>
      </w:pPr>
      <w:r>
        <w:rPr>
          <w:rFonts w:hint="default" w:ascii="Times New Roman" w:hAnsi="Times New Roman" w:eastAsia="黑体" w:cs="Times New Roman"/>
          <w:bCs/>
          <w:spacing w:val="-4"/>
          <w:sz w:val="32"/>
          <w:szCs w:val="48"/>
        </w:rPr>
        <w:t>玉溪高新技术产业开发区管理委员会</w:t>
      </w:r>
    </w:p>
    <w:p w14:paraId="458A5BB4">
      <w:pPr>
        <w:spacing w:line="360" w:lineRule="auto"/>
        <w:jc w:val="center"/>
        <w:rPr>
          <w:rFonts w:hint="default" w:ascii="Times New Roman" w:hAnsi="Times New Roman" w:eastAsia="黑体" w:cs="Times New Roman"/>
          <w:bCs/>
          <w:spacing w:val="-4"/>
          <w:sz w:val="32"/>
          <w:szCs w:val="48"/>
        </w:rPr>
      </w:pPr>
      <w:r>
        <w:rPr>
          <w:rFonts w:hint="default" w:ascii="Times New Roman" w:hAnsi="Times New Roman" w:eastAsia="黑体" w:cs="Times New Roman"/>
          <w:bCs/>
          <w:spacing w:val="-4"/>
          <w:sz w:val="32"/>
          <w:szCs w:val="48"/>
        </w:rPr>
        <w:t>北京智识企业管理咨询有限公司</w:t>
      </w:r>
    </w:p>
    <w:p w14:paraId="6A7F0A8D">
      <w:pPr>
        <w:spacing w:line="360" w:lineRule="auto"/>
        <w:jc w:val="center"/>
        <w:rPr>
          <w:rFonts w:hint="default" w:ascii="Times New Roman" w:hAnsi="Times New Roman" w:eastAsia="黑体" w:cs="Times New Roman"/>
          <w:bCs/>
          <w:spacing w:val="-4"/>
          <w:sz w:val="32"/>
          <w:szCs w:val="48"/>
        </w:rPr>
      </w:pPr>
      <w:r>
        <w:rPr>
          <w:rFonts w:hint="default" w:ascii="Times New Roman" w:hAnsi="Times New Roman" w:eastAsia="黑体" w:cs="Times New Roman"/>
          <w:bCs/>
          <w:spacing w:val="-4"/>
          <w:sz w:val="32"/>
          <w:szCs w:val="48"/>
        </w:rPr>
        <w:fldChar w:fldCharType="begin"/>
      </w:r>
      <w:r>
        <w:rPr>
          <w:rFonts w:hint="default" w:ascii="Times New Roman" w:hAnsi="Times New Roman" w:eastAsia="黑体" w:cs="Times New Roman"/>
          <w:bCs/>
          <w:spacing w:val="-4"/>
          <w:sz w:val="32"/>
          <w:szCs w:val="48"/>
        </w:rPr>
        <w:instrText xml:space="preserve">TIME \@ "EEEE年O月"</w:instrText>
      </w:r>
      <w:r>
        <w:rPr>
          <w:rFonts w:hint="default" w:ascii="Times New Roman" w:hAnsi="Times New Roman" w:eastAsia="黑体" w:cs="Times New Roman"/>
          <w:bCs/>
          <w:spacing w:val="-4"/>
          <w:sz w:val="32"/>
          <w:szCs w:val="48"/>
        </w:rPr>
        <w:fldChar w:fldCharType="separate"/>
      </w:r>
      <w:r>
        <w:rPr>
          <w:rFonts w:hint="default" w:ascii="Times New Roman" w:hAnsi="Times New Roman" w:eastAsia="黑体" w:cs="Times New Roman"/>
          <w:bCs/>
          <w:spacing w:val="-4"/>
          <w:sz w:val="32"/>
          <w:szCs w:val="48"/>
        </w:rPr>
        <w:t>二〇二四年八月</w:t>
      </w:r>
      <w:r>
        <w:rPr>
          <w:rFonts w:hint="default" w:ascii="Times New Roman" w:hAnsi="Times New Roman" w:eastAsia="黑体" w:cs="Times New Roman"/>
          <w:bCs/>
          <w:spacing w:val="-4"/>
          <w:sz w:val="32"/>
          <w:szCs w:val="48"/>
        </w:rPr>
        <w:fldChar w:fldCharType="end"/>
      </w:r>
    </w:p>
    <w:p w14:paraId="6687E17F">
      <w:pPr>
        <w:jc w:val="center"/>
        <w:rPr>
          <w:rFonts w:hint="default" w:ascii="Times New Roman" w:hAnsi="Times New Roman" w:cs="Times New Roman"/>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cs="Times New Roman"/>
        </w:rPr>
        <w:br w:type="page"/>
      </w:r>
    </w:p>
    <w:p w14:paraId="43B5DC41">
      <w:pPr>
        <w:jc w:val="center"/>
        <w:rPr>
          <w:rFonts w:hint="default" w:ascii="Times New Roman" w:hAnsi="Times New Roman" w:eastAsia="黑体" w:cs="Times New Roman"/>
          <w:b/>
          <w:sz w:val="32"/>
        </w:rPr>
      </w:pPr>
      <w:r>
        <w:rPr>
          <w:rFonts w:hint="default" w:ascii="Times New Roman" w:hAnsi="Times New Roman" w:eastAsia="黑体" w:cs="Times New Roman"/>
          <w:b/>
          <w:sz w:val="32"/>
        </w:rPr>
        <w:t>目  录</w:t>
      </w:r>
    </w:p>
    <w:p w14:paraId="226F9FA9">
      <w:pPr>
        <w:pStyle w:val="10"/>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sz w:val="32"/>
        </w:rPr>
        <w:fldChar w:fldCharType="begin"/>
      </w:r>
      <w:r>
        <w:rPr>
          <w:rFonts w:hint="default" w:ascii="Times New Roman" w:hAnsi="Times New Roman" w:cs="Times New Roman"/>
          <w:sz w:val="32"/>
        </w:rPr>
        <w:instrText xml:space="preserve"> TOC \o "1-3" \h \z \u </w:instrText>
      </w:r>
      <w:r>
        <w:rPr>
          <w:rFonts w:hint="default" w:ascii="Times New Roman" w:hAnsi="Times New Roman" w:cs="Times New Roman"/>
          <w:sz w:val="32"/>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"_Toc67935897" </w:instrText>
      </w:r>
      <w:r>
        <w:rPr>
          <w:rFonts w:hint="default" w:ascii="Times New Roman" w:hAnsi="Times New Roman" w:cs="Times New Roman"/>
        </w:rPr>
        <w:fldChar w:fldCharType="separate"/>
      </w:r>
      <w:r>
        <w:rPr>
          <w:rStyle w:val="17"/>
          <w:rFonts w:hint="default" w:ascii="Times New Roman" w:hAnsi="Times New Roman" w:cs="Times New Roman"/>
        </w:rPr>
        <w:t>前  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_Toc67935897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3D5B7447">
      <w:pPr>
        <w:pStyle w:val="10"/>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"_Toc67935898" </w:instrText>
      </w:r>
      <w:r>
        <w:rPr>
          <w:rFonts w:hint="default" w:ascii="Times New Roman" w:hAnsi="Times New Roman" w:cs="Times New Roman"/>
        </w:rPr>
        <w:fldChar w:fldCharType="separate"/>
      </w:r>
      <w:r>
        <w:rPr>
          <w:rStyle w:val="17"/>
          <w:rFonts w:hint="default" w:ascii="Times New Roman" w:hAnsi="Times New Roman" w:cs="Times New Roman"/>
        </w:rPr>
        <w:t>一、基础与形势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_Toc67935898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49FF9BB2">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"_Toc67935899" </w:instrText>
      </w:r>
      <w:r>
        <w:rPr>
          <w:rFonts w:hint="default" w:ascii="Times New Roman" w:hAnsi="Times New Roman" w:cs="Times New Roman"/>
        </w:rPr>
        <w:fldChar w:fldCharType="separate"/>
      </w:r>
      <w:r>
        <w:rPr>
          <w:rStyle w:val="17"/>
          <w:rFonts w:hint="default" w:ascii="Times New Roman" w:hAnsi="Times New Roman" w:eastAsia="黑体" w:cs="Times New Roman"/>
        </w:rPr>
        <w:t>（一）发展基础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_Toc67935899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489B0B0C">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"_Toc67935900"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1.综合实力稳步提升，成为全市经济发展的重要支柱</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_Toc67935900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487BBA60">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"_Toc67935901"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2.产业体系特色明显，新业态培育初见成效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_Toc67935901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12C3613D">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"_Toc67935902"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3.市场主体加速培育，研发创新不断强化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_Toc67935902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6CFAC749">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"_Toc67935903"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4.双创载体不断完善，科技人才不断汇聚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_Toc67935903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75C94301">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"_Toc67935904"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5.产城融合有序推进，形成</w:t>
      </w:r>
      <w:r>
        <w:rPr>
          <w:rStyle w:val="17"/>
          <w:rFonts w:hint="eastAsia" w:ascii="Times New Roman" w:hAnsi="Times New Roman" w:eastAsia="楷体_GB2312" w:cs="Times New Roman"/>
          <w:lang w:eastAsia="zh-CN"/>
        </w:rPr>
        <w:t>“</w:t>
      </w:r>
      <w:r>
        <w:rPr>
          <w:rStyle w:val="17"/>
          <w:rFonts w:hint="default" w:ascii="Times New Roman" w:hAnsi="Times New Roman" w:eastAsia="楷体_GB2312" w:cs="Times New Roman"/>
        </w:rPr>
        <w:t>一区四园</w:t>
      </w:r>
      <w:r>
        <w:rPr>
          <w:rStyle w:val="17"/>
          <w:rFonts w:hint="eastAsia" w:ascii="Times New Roman" w:hAnsi="Times New Roman" w:eastAsia="楷体_GB2312" w:cs="Times New Roman"/>
          <w:lang w:eastAsia="zh-CN"/>
        </w:rPr>
        <w:t>”</w:t>
      </w:r>
      <w:r>
        <w:rPr>
          <w:rStyle w:val="17"/>
          <w:rFonts w:hint="default" w:ascii="Times New Roman" w:hAnsi="Times New Roman" w:eastAsia="楷体_GB2312" w:cs="Times New Roman"/>
        </w:rPr>
        <w:t>发展格局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_Toc67935904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3D228374">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"_Toc67935905"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6.管理服务持续创新，营商环境日益优化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_Toc67935905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14:paraId="5CC57C74">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"_Toc67935906" </w:instrText>
      </w:r>
      <w:r>
        <w:rPr>
          <w:rFonts w:hint="default" w:ascii="Times New Roman" w:hAnsi="Times New Roman" w:cs="Times New Roman"/>
        </w:rPr>
        <w:fldChar w:fldCharType="separate"/>
      </w:r>
      <w:r>
        <w:rPr>
          <w:rStyle w:val="17"/>
          <w:rFonts w:hint="default" w:ascii="Times New Roman" w:hAnsi="Times New Roman" w:eastAsia="黑体" w:cs="Times New Roman"/>
        </w:rPr>
        <w:t>（二）外部形势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_Toc67935906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41FC8ACC">
      <w:pPr>
        <w:pStyle w:val="10"/>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"_Toc67935907" </w:instrText>
      </w:r>
      <w:r>
        <w:rPr>
          <w:rFonts w:hint="default" w:ascii="Times New Roman" w:hAnsi="Times New Roman" w:cs="Times New Roman"/>
        </w:rPr>
        <w:fldChar w:fldCharType="separate"/>
      </w:r>
      <w:r>
        <w:rPr>
          <w:rStyle w:val="17"/>
          <w:rFonts w:hint="default" w:ascii="Times New Roman" w:hAnsi="Times New Roman" w:cs="Times New Roman"/>
        </w:rPr>
        <w:t>二、</w:t>
      </w:r>
      <w:r>
        <w:rPr>
          <w:rStyle w:val="17"/>
          <w:rFonts w:hint="eastAsia" w:ascii="Times New Roman" w:hAnsi="Times New Roman" w:cs="Times New Roman"/>
          <w:lang w:eastAsia="zh-CN"/>
        </w:rPr>
        <w:t>“</w:t>
      </w:r>
      <w:r>
        <w:rPr>
          <w:rStyle w:val="17"/>
          <w:rFonts w:hint="default" w:ascii="Times New Roman" w:hAnsi="Times New Roman" w:cs="Times New Roman"/>
        </w:rPr>
        <w:t>十四五</w:t>
      </w:r>
      <w:r>
        <w:rPr>
          <w:rStyle w:val="17"/>
          <w:rFonts w:hint="eastAsia" w:ascii="Times New Roman" w:hAnsi="Times New Roman" w:cs="Times New Roman"/>
          <w:lang w:eastAsia="zh-CN"/>
        </w:rPr>
        <w:t>”</w:t>
      </w:r>
      <w:r>
        <w:rPr>
          <w:rStyle w:val="17"/>
          <w:rFonts w:hint="default" w:ascii="Times New Roman" w:hAnsi="Times New Roman" w:cs="Times New Roman"/>
        </w:rPr>
        <w:t>总体要求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_Toc67935907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137FBDA1">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"_Toc67935908" </w:instrText>
      </w:r>
      <w:r>
        <w:rPr>
          <w:rFonts w:hint="default" w:ascii="Times New Roman" w:hAnsi="Times New Roman" w:cs="Times New Roman"/>
        </w:rPr>
        <w:fldChar w:fldCharType="separate"/>
      </w:r>
      <w:r>
        <w:rPr>
          <w:rStyle w:val="17"/>
          <w:rFonts w:hint="default" w:ascii="Times New Roman" w:hAnsi="Times New Roman" w:eastAsia="黑体" w:cs="Times New Roman"/>
        </w:rPr>
        <w:t>（一）总体思路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_Toc67935908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3906CCE2">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"_Toc67935909" </w:instrText>
      </w:r>
      <w:r>
        <w:rPr>
          <w:rFonts w:hint="default" w:ascii="Times New Roman" w:hAnsi="Times New Roman" w:cs="Times New Roman"/>
        </w:rPr>
        <w:fldChar w:fldCharType="separate"/>
      </w:r>
      <w:r>
        <w:rPr>
          <w:rStyle w:val="17"/>
          <w:rFonts w:hint="default" w:ascii="Times New Roman" w:hAnsi="Times New Roman" w:eastAsia="黑体" w:cs="Times New Roman"/>
        </w:rPr>
        <w:t>（二）发展路径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_Toc67935909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75613149">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"_Toc67935910" </w:instrText>
      </w:r>
      <w:r>
        <w:rPr>
          <w:rFonts w:hint="default" w:ascii="Times New Roman" w:hAnsi="Times New Roman" w:cs="Times New Roman"/>
        </w:rPr>
        <w:fldChar w:fldCharType="separate"/>
      </w:r>
      <w:r>
        <w:rPr>
          <w:rStyle w:val="17"/>
          <w:rFonts w:hint="default" w:ascii="Times New Roman" w:hAnsi="Times New Roman" w:eastAsia="黑体" w:cs="Times New Roman"/>
        </w:rPr>
        <w:t>（三）战略定位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_Toc67935910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77047E82">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"_Toc67935911" </w:instrText>
      </w:r>
      <w:r>
        <w:rPr>
          <w:rFonts w:hint="default" w:ascii="Times New Roman" w:hAnsi="Times New Roman" w:cs="Times New Roman"/>
        </w:rPr>
        <w:fldChar w:fldCharType="separate"/>
      </w:r>
      <w:r>
        <w:rPr>
          <w:rStyle w:val="17"/>
          <w:rFonts w:hint="default" w:ascii="Times New Roman" w:hAnsi="Times New Roman" w:eastAsia="黑体" w:cs="Times New Roman"/>
        </w:rPr>
        <w:t>（四）2035年远景目标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_Toc67935911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14:paraId="4CD2A554">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"_Toc67935912" </w:instrText>
      </w:r>
      <w:r>
        <w:rPr>
          <w:rFonts w:hint="default" w:ascii="Times New Roman" w:hAnsi="Times New Roman" w:cs="Times New Roman"/>
        </w:rPr>
        <w:fldChar w:fldCharType="separate"/>
      </w:r>
      <w:r>
        <w:rPr>
          <w:rStyle w:val="17"/>
          <w:rFonts w:hint="default" w:ascii="Times New Roman" w:hAnsi="Times New Roman" w:eastAsia="黑体" w:cs="Times New Roman"/>
        </w:rPr>
        <w:t>（五）</w:t>
      </w:r>
      <w:r>
        <w:rPr>
          <w:rStyle w:val="17"/>
          <w:rFonts w:hint="eastAsia" w:ascii="Times New Roman" w:hAnsi="Times New Roman" w:eastAsia="黑体" w:cs="Times New Roman"/>
          <w:lang w:eastAsia="zh-CN"/>
        </w:rPr>
        <w:t>“</w:t>
      </w:r>
      <w:r>
        <w:rPr>
          <w:rStyle w:val="17"/>
          <w:rFonts w:hint="default" w:ascii="Times New Roman" w:hAnsi="Times New Roman" w:eastAsia="黑体" w:cs="Times New Roman"/>
        </w:rPr>
        <w:t>十四五</w:t>
      </w:r>
      <w:r>
        <w:rPr>
          <w:rStyle w:val="17"/>
          <w:rFonts w:hint="eastAsia" w:ascii="Times New Roman" w:hAnsi="Times New Roman" w:eastAsia="黑体" w:cs="Times New Roman"/>
          <w:lang w:eastAsia="zh-CN"/>
        </w:rPr>
        <w:t>”</w:t>
      </w:r>
      <w:r>
        <w:rPr>
          <w:rStyle w:val="17"/>
          <w:rFonts w:hint="default" w:ascii="Times New Roman" w:hAnsi="Times New Roman" w:eastAsia="黑体" w:cs="Times New Roman"/>
        </w:rPr>
        <w:t>时期发展目标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_Toc67935912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cs="Times New Roman"/>
        </w:rPr>
        <w:fldChar w:fldCharType="end"/>
      </w:r>
    </w:p>
    <w:p w14:paraId="14782D58">
      <w:pPr>
        <w:pStyle w:val="10"/>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"_Toc67935913" </w:instrText>
      </w:r>
      <w:r>
        <w:rPr>
          <w:rFonts w:hint="default" w:ascii="Times New Roman" w:hAnsi="Times New Roman" w:cs="Times New Roman"/>
        </w:rPr>
        <w:fldChar w:fldCharType="separate"/>
      </w:r>
      <w:r>
        <w:rPr>
          <w:rStyle w:val="17"/>
          <w:rFonts w:hint="default" w:ascii="Times New Roman" w:hAnsi="Times New Roman" w:cs="Times New Roman"/>
        </w:rPr>
        <w:t>三、</w:t>
      </w:r>
      <w:r>
        <w:rPr>
          <w:rStyle w:val="17"/>
          <w:rFonts w:hint="eastAsia" w:ascii="Times New Roman" w:hAnsi="Times New Roman" w:cs="Times New Roman"/>
          <w:lang w:eastAsia="zh-CN"/>
        </w:rPr>
        <w:t>“</w:t>
      </w:r>
      <w:r>
        <w:rPr>
          <w:rStyle w:val="17"/>
          <w:rFonts w:hint="default" w:ascii="Times New Roman" w:hAnsi="Times New Roman" w:cs="Times New Roman"/>
        </w:rPr>
        <w:t>十四五</w:t>
      </w:r>
      <w:r>
        <w:rPr>
          <w:rStyle w:val="17"/>
          <w:rFonts w:hint="eastAsia" w:ascii="Times New Roman" w:hAnsi="Times New Roman" w:cs="Times New Roman"/>
          <w:lang w:eastAsia="zh-CN"/>
        </w:rPr>
        <w:t>”</w:t>
      </w:r>
      <w:r>
        <w:rPr>
          <w:rStyle w:val="17"/>
          <w:rFonts w:hint="default" w:ascii="Times New Roman" w:hAnsi="Times New Roman" w:cs="Times New Roman"/>
        </w:rPr>
        <w:t>任务部署</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_Toc67935913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14:paraId="5FF2D95E">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"_Toc67935914" </w:instrText>
      </w:r>
      <w:r>
        <w:rPr>
          <w:rFonts w:hint="default" w:ascii="Times New Roman" w:hAnsi="Times New Roman" w:cs="Times New Roman"/>
        </w:rPr>
        <w:fldChar w:fldCharType="separate"/>
      </w:r>
      <w:r>
        <w:rPr>
          <w:rStyle w:val="17"/>
          <w:rFonts w:hint="default" w:ascii="Times New Roman" w:hAnsi="Times New Roman" w:eastAsia="黑体" w:cs="Times New Roman"/>
        </w:rPr>
        <w:t>（一）培育高质量产业集群，构筑发展新优势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_Toc67935914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14:paraId="144E7C08">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"_Toc67935915"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1.打造</w:t>
      </w:r>
      <w:r>
        <w:rPr>
          <w:rStyle w:val="17"/>
          <w:rFonts w:hint="eastAsia" w:ascii="Times New Roman" w:hAnsi="Times New Roman" w:eastAsia="楷体_GB2312" w:cs="Times New Roman"/>
          <w:lang w:eastAsia="zh-CN"/>
        </w:rPr>
        <w:t>“</w:t>
      </w:r>
      <w:r>
        <w:rPr>
          <w:rStyle w:val="17"/>
          <w:rFonts w:hint="default" w:ascii="Times New Roman" w:hAnsi="Times New Roman" w:eastAsia="楷体_GB2312" w:cs="Times New Roman"/>
        </w:rPr>
        <w:t>231</w:t>
      </w:r>
      <w:r>
        <w:rPr>
          <w:rStyle w:val="17"/>
          <w:rFonts w:hint="eastAsia" w:ascii="Times New Roman" w:hAnsi="Times New Roman" w:eastAsia="楷体_GB2312" w:cs="Times New Roman"/>
          <w:lang w:eastAsia="zh-CN"/>
        </w:rPr>
        <w:t>”</w:t>
      </w:r>
      <w:r>
        <w:rPr>
          <w:rStyle w:val="17"/>
          <w:rFonts w:hint="default" w:ascii="Times New Roman" w:hAnsi="Times New Roman" w:eastAsia="楷体_GB2312" w:cs="Times New Roman"/>
        </w:rPr>
        <w:t>现代产业体系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_Toc67935915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cs="Times New Roman"/>
        </w:rPr>
        <w:fldChar w:fldCharType="end"/>
      </w:r>
    </w:p>
    <w:p w14:paraId="52B670C8">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"_Toc67935916"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2.部署新经济应用场景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_Toc67935916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cs="Times New Roman"/>
        </w:rPr>
        <w:fldChar w:fldCharType="end"/>
      </w:r>
    </w:p>
    <w:p w14:paraId="0AB683C8">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"_Toc67935917"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3.全力培育创新型企业群落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_Toc67935917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rPr>
        <w:fldChar w:fldCharType="end"/>
      </w:r>
    </w:p>
    <w:p w14:paraId="0D5DE279">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"_Toc67935918"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4.强化产业链延链、补链、强链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_Toc67935918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rPr>
        <w:fldChar w:fldCharType="end"/>
      </w:r>
    </w:p>
    <w:p w14:paraId="68ECC79C">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"_Toc67935919" </w:instrText>
      </w:r>
      <w:r>
        <w:rPr>
          <w:rFonts w:hint="default" w:ascii="Times New Roman" w:hAnsi="Times New Roman" w:cs="Times New Roman"/>
        </w:rPr>
        <w:fldChar w:fldCharType="separate"/>
      </w:r>
      <w:r>
        <w:rPr>
          <w:rStyle w:val="17"/>
          <w:rFonts w:hint="default" w:ascii="Times New Roman" w:hAnsi="Times New Roman" w:eastAsia="黑体" w:cs="Times New Roman"/>
        </w:rPr>
        <w:t>（二）完善高水平双创生态，积蓄发展新动能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_Toc67935919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rPr>
        <w:fldChar w:fldCharType="end"/>
      </w:r>
    </w:p>
    <w:p w14:paraId="619DCA29">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"_Toc67935920"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1.建设高能级研发创新平台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_Toc67935920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rPr>
        <w:fldChar w:fldCharType="end"/>
      </w:r>
    </w:p>
    <w:p w14:paraId="1B417866">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"_Toc67935921"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2.以建设国家级孵化器引领双创升级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_Toc67935921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cs="Times New Roman"/>
        </w:rPr>
        <w:fldChar w:fldCharType="end"/>
      </w:r>
    </w:p>
    <w:p w14:paraId="35A2A872">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"_Toc67935922"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3.着力引培玉溪</w:t>
      </w:r>
      <w:r>
        <w:rPr>
          <w:rStyle w:val="17"/>
          <w:rFonts w:hint="eastAsia" w:ascii="Times New Roman" w:hAnsi="Times New Roman" w:eastAsia="楷体_GB2312" w:cs="Times New Roman"/>
          <w:lang w:eastAsia="zh-CN"/>
        </w:rPr>
        <w:t>“</w:t>
      </w:r>
      <w:r>
        <w:rPr>
          <w:rStyle w:val="17"/>
          <w:rFonts w:hint="default" w:ascii="Times New Roman" w:hAnsi="Times New Roman" w:eastAsia="楷体_GB2312" w:cs="Times New Roman"/>
        </w:rPr>
        <w:t>创新合伙人</w:t>
      </w:r>
      <w:r>
        <w:rPr>
          <w:rStyle w:val="17"/>
          <w:rFonts w:hint="eastAsia" w:ascii="Times New Roman" w:hAnsi="Times New Roman" w:eastAsia="楷体_GB2312" w:cs="Times New Roman"/>
          <w:lang w:eastAsia="zh-CN"/>
        </w:rPr>
        <w:t>”</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_Toc67935922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rPr>
        <w:fldChar w:fldCharType="end"/>
      </w:r>
    </w:p>
    <w:p w14:paraId="3EC839BE">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"_Toc67935923"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4.强化科技服务支撑能力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_Toc67935923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cs="Times New Roman"/>
        </w:rPr>
        <w:fldChar w:fldCharType="end"/>
      </w:r>
    </w:p>
    <w:p w14:paraId="24E6BFB0">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"_Toc67935924" </w:instrText>
      </w:r>
      <w:r>
        <w:rPr>
          <w:rFonts w:hint="default" w:ascii="Times New Roman" w:hAnsi="Times New Roman" w:cs="Times New Roman"/>
        </w:rPr>
        <w:fldChar w:fldCharType="separate"/>
      </w:r>
      <w:r>
        <w:rPr>
          <w:rStyle w:val="17"/>
          <w:rFonts w:hint="default" w:ascii="Times New Roman" w:hAnsi="Times New Roman" w:eastAsia="黑体" w:cs="Times New Roman"/>
        </w:rPr>
        <w:t>（三）强化高层次开放协同，打造开放新格局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_Toc67935924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cs="Times New Roman"/>
        </w:rPr>
        <w:fldChar w:fldCharType="end"/>
      </w:r>
    </w:p>
    <w:p w14:paraId="0C18CB5A">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"_Toc67935925"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1.建设面向两亚合作枢纽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_Toc67935925 \h </w:instrText>
      </w:r>
      <w:r>
        <w:rPr>
          <w:rFonts w:hint="default" w:ascii="Times New Roman" w:hAnsi="Times New Roman" w:cs="Times New Roman"/>
        </w:rPr>
        <w:fldChar w:fldCharType="separate"/>
      </w:r>
      <w:r>
        <w:rPr>
          <w:rFonts w:hint="default" w:ascii="Times New Roman" w:hAnsi="Times New Roman" w:cs="Times New Roman"/>
        </w:rPr>
        <w:t>29</w:t>
      </w:r>
      <w:r>
        <w:rPr>
          <w:rFonts w:hint="default" w:ascii="Times New Roman" w:hAnsi="Times New Roman" w:cs="Times New Roman"/>
        </w:rPr>
        <w:fldChar w:fldCharType="end"/>
      </w:r>
      <w:r>
        <w:rPr>
          <w:rFonts w:hint="default" w:ascii="Times New Roman" w:hAnsi="Times New Roman" w:cs="Times New Roman"/>
        </w:rPr>
        <w:fldChar w:fldCharType="end"/>
      </w:r>
    </w:p>
    <w:p w14:paraId="18AC544E">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"_Toc67935926"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2.深化国内链接和区域合作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_Toc67935926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cs="Times New Roman"/>
        </w:rPr>
        <w:fldChar w:fldCharType="end"/>
      </w:r>
    </w:p>
    <w:p w14:paraId="5340727F">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"_Toc67935927" </w:instrText>
      </w:r>
      <w:r>
        <w:rPr>
          <w:rFonts w:hint="default" w:ascii="Times New Roman" w:hAnsi="Times New Roman" w:cs="Times New Roman"/>
        </w:rPr>
        <w:fldChar w:fldCharType="separate"/>
      </w:r>
      <w:r>
        <w:rPr>
          <w:rStyle w:val="17"/>
          <w:rFonts w:hint="default" w:ascii="Times New Roman" w:hAnsi="Times New Roman" w:eastAsia="黑体" w:cs="Times New Roman"/>
        </w:rPr>
        <w:t>（四）建设高标准数字园区，树立产城融合新标杆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_Toc67935927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rPr>
        <w:fldChar w:fldCharType="end"/>
      </w:r>
    </w:p>
    <w:p w14:paraId="09057E05">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"_Toc67935928"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1.优化</w:t>
      </w:r>
      <w:r>
        <w:rPr>
          <w:rStyle w:val="17"/>
          <w:rFonts w:hint="eastAsia" w:ascii="Times New Roman" w:hAnsi="Times New Roman" w:eastAsia="楷体_GB2312" w:cs="Times New Roman"/>
          <w:lang w:eastAsia="zh-CN"/>
        </w:rPr>
        <w:t>“</w:t>
      </w:r>
      <w:r>
        <w:rPr>
          <w:rStyle w:val="17"/>
          <w:rFonts w:hint="default" w:ascii="Times New Roman" w:hAnsi="Times New Roman" w:eastAsia="楷体_GB2312" w:cs="Times New Roman"/>
        </w:rPr>
        <w:t>一核三片区</w:t>
      </w:r>
      <w:r>
        <w:rPr>
          <w:rStyle w:val="17"/>
          <w:rFonts w:hint="eastAsia" w:ascii="Times New Roman" w:hAnsi="Times New Roman" w:eastAsia="楷体_GB2312" w:cs="Times New Roman"/>
          <w:lang w:eastAsia="zh-CN"/>
        </w:rPr>
        <w:t>”</w:t>
      </w:r>
      <w:r>
        <w:rPr>
          <w:rStyle w:val="17"/>
          <w:rFonts w:hint="default" w:ascii="Times New Roman" w:hAnsi="Times New Roman" w:eastAsia="楷体_GB2312" w:cs="Times New Roman"/>
        </w:rPr>
        <w:t>功能布局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_Toc67935928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rPr>
        <w:fldChar w:fldCharType="end"/>
      </w:r>
    </w:p>
    <w:p w14:paraId="3800B3D4">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"_Toc67935929"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2.推进绿色数字园区建设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_Toc67935929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rPr>
        <w:fldChar w:fldCharType="end"/>
      </w:r>
    </w:p>
    <w:p w14:paraId="36C17515">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"_Toc67935930"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3.提升园区整体形象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_Toc67935930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cs="Times New Roman"/>
        </w:rPr>
        <w:fldChar w:fldCharType="end"/>
      </w:r>
    </w:p>
    <w:p w14:paraId="016EDEF0">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"_Toc67935931" </w:instrText>
      </w:r>
      <w:r>
        <w:rPr>
          <w:rFonts w:hint="default" w:ascii="Times New Roman" w:hAnsi="Times New Roman" w:cs="Times New Roman"/>
        </w:rPr>
        <w:fldChar w:fldCharType="separate"/>
      </w:r>
      <w:r>
        <w:rPr>
          <w:rStyle w:val="17"/>
          <w:rFonts w:hint="default" w:ascii="Times New Roman" w:hAnsi="Times New Roman" w:eastAsia="黑体" w:cs="Times New Roman"/>
        </w:rPr>
        <w:t>（五）深化高效能改革创新，营造活力新环境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_Toc67935931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cs="Times New Roman"/>
        </w:rPr>
        <w:fldChar w:fldCharType="end"/>
      </w:r>
    </w:p>
    <w:p w14:paraId="14D394E2">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"_Toc67935932"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1.以市场化理念深化实体化改革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_Toc67935932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cs="Times New Roman"/>
        </w:rPr>
        <w:fldChar w:fldCharType="end"/>
      </w:r>
    </w:p>
    <w:p w14:paraId="7B3CB5DB">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"_Toc67935933"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2.完善园区营商环境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_Toc67935933 \h </w:instrText>
      </w:r>
      <w:r>
        <w:rPr>
          <w:rFonts w:hint="default" w:ascii="Times New Roman" w:hAnsi="Times New Roman" w:cs="Times New Roman"/>
        </w:rPr>
        <w:fldChar w:fldCharType="separate"/>
      </w:r>
      <w:r>
        <w:rPr>
          <w:rFonts w:hint="default" w:ascii="Times New Roman" w:hAnsi="Times New Roman" w:cs="Times New Roman"/>
        </w:rPr>
        <w:t>37</w:t>
      </w:r>
      <w:r>
        <w:rPr>
          <w:rFonts w:hint="default" w:ascii="Times New Roman" w:hAnsi="Times New Roman" w:cs="Times New Roman"/>
        </w:rPr>
        <w:fldChar w:fldCharType="end"/>
      </w:r>
      <w:r>
        <w:rPr>
          <w:rFonts w:hint="default" w:ascii="Times New Roman" w:hAnsi="Times New Roman" w:cs="Times New Roman"/>
        </w:rPr>
        <w:fldChar w:fldCharType="end"/>
      </w:r>
    </w:p>
    <w:p w14:paraId="77AB26CD">
      <w:pPr>
        <w:pStyle w:val="6"/>
        <w:tabs>
          <w:tab w:val="right" w:leader="dot" w:pos="8296"/>
        </w:tabs>
        <w:spacing w:line="520" w:lineRule="exact"/>
        <w:rPr>
          <w:rFonts w:hint="default" w:ascii="Times New Roman" w:hAnsi="Times New Roman" w:cs="Times New Roman" w:eastAsiaTheme="minorEastAsia"/>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"_Toc67935934" </w:instrText>
      </w:r>
      <w:r>
        <w:rPr>
          <w:rFonts w:hint="default" w:ascii="Times New Roman" w:hAnsi="Times New Roman" w:cs="Times New Roman"/>
        </w:rPr>
        <w:fldChar w:fldCharType="separate"/>
      </w:r>
      <w:r>
        <w:rPr>
          <w:rStyle w:val="17"/>
          <w:rFonts w:hint="default" w:ascii="Times New Roman" w:hAnsi="Times New Roman" w:eastAsia="楷体_GB2312" w:cs="Times New Roman"/>
        </w:rPr>
        <w:t>3.提升创新治理能力</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_Toc67935934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cs="Times New Roman"/>
        </w:rPr>
        <w:fldChar w:fldCharType="end"/>
      </w:r>
    </w:p>
    <w:p w14:paraId="51C9661A">
      <w:pPr>
        <w:pStyle w:val="10"/>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"_Toc67935935" </w:instrText>
      </w:r>
      <w:r>
        <w:rPr>
          <w:rFonts w:hint="default" w:ascii="Times New Roman" w:hAnsi="Times New Roman" w:cs="Times New Roman"/>
        </w:rPr>
        <w:fldChar w:fldCharType="separate"/>
      </w:r>
      <w:r>
        <w:rPr>
          <w:rStyle w:val="17"/>
          <w:rFonts w:hint="default" w:ascii="Times New Roman" w:hAnsi="Times New Roman" w:cs="Times New Roman"/>
        </w:rPr>
        <w:t>四、保障措施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_Toc67935935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cs="Times New Roman"/>
        </w:rPr>
        <w:fldChar w:fldCharType="end"/>
      </w:r>
    </w:p>
    <w:p w14:paraId="02D28AE7">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"_Toc67935936" </w:instrText>
      </w:r>
      <w:r>
        <w:rPr>
          <w:rFonts w:hint="default" w:ascii="Times New Roman" w:hAnsi="Times New Roman" w:cs="Times New Roman"/>
        </w:rPr>
        <w:fldChar w:fldCharType="separate"/>
      </w:r>
      <w:r>
        <w:rPr>
          <w:rStyle w:val="17"/>
          <w:rFonts w:hint="default" w:ascii="Times New Roman" w:hAnsi="Times New Roman" w:eastAsia="黑体" w:cs="Times New Roman"/>
        </w:rPr>
        <w:t>（一）加强组织领导</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_Toc67935936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cs="Times New Roman"/>
        </w:rPr>
        <w:fldChar w:fldCharType="end"/>
      </w:r>
    </w:p>
    <w:p w14:paraId="33D37289">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"_Toc67935937" </w:instrText>
      </w:r>
      <w:r>
        <w:rPr>
          <w:rFonts w:hint="default" w:ascii="Times New Roman" w:hAnsi="Times New Roman" w:cs="Times New Roman"/>
        </w:rPr>
        <w:fldChar w:fldCharType="separate"/>
      </w:r>
      <w:r>
        <w:rPr>
          <w:rStyle w:val="17"/>
          <w:rFonts w:hint="default" w:ascii="Times New Roman" w:hAnsi="Times New Roman" w:eastAsia="黑体" w:cs="Times New Roman"/>
        </w:rPr>
        <w:t>（二）统筹规划落实</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_Toc67935937 \h </w:instrText>
      </w:r>
      <w:r>
        <w:rPr>
          <w:rFonts w:hint="default" w:ascii="Times New Roman" w:hAnsi="Times New Roman" w:cs="Times New Roman"/>
        </w:rPr>
        <w:fldChar w:fldCharType="separate"/>
      </w:r>
      <w:r>
        <w:rPr>
          <w:rFonts w:hint="default" w:ascii="Times New Roman" w:hAnsi="Times New Roman" w:cs="Times New Roman"/>
        </w:rPr>
        <w:t>40</w:t>
      </w:r>
      <w:r>
        <w:rPr>
          <w:rFonts w:hint="default" w:ascii="Times New Roman" w:hAnsi="Times New Roman" w:cs="Times New Roman"/>
        </w:rPr>
        <w:fldChar w:fldCharType="end"/>
      </w:r>
      <w:r>
        <w:rPr>
          <w:rFonts w:hint="default" w:ascii="Times New Roman" w:hAnsi="Times New Roman" w:cs="Times New Roman"/>
        </w:rPr>
        <w:fldChar w:fldCharType="end"/>
      </w:r>
    </w:p>
    <w:p w14:paraId="1ED4DF2E">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"_Toc67935938" </w:instrText>
      </w:r>
      <w:r>
        <w:rPr>
          <w:rFonts w:hint="default" w:ascii="Times New Roman" w:hAnsi="Times New Roman" w:cs="Times New Roman"/>
        </w:rPr>
        <w:fldChar w:fldCharType="separate"/>
      </w:r>
      <w:r>
        <w:rPr>
          <w:rStyle w:val="17"/>
          <w:rFonts w:hint="default" w:ascii="Times New Roman" w:hAnsi="Times New Roman" w:eastAsia="黑体" w:cs="Times New Roman"/>
        </w:rPr>
        <w:t>（三）优化土地供给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_Toc67935938 \h </w:instrText>
      </w:r>
      <w:r>
        <w:rPr>
          <w:rFonts w:hint="default" w:ascii="Times New Roman" w:hAnsi="Times New Roman" w:cs="Times New Roman"/>
        </w:rPr>
        <w:fldChar w:fldCharType="separate"/>
      </w:r>
      <w:r>
        <w:rPr>
          <w:rFonts w:hint="default" w:ascii="Times New Roman" w:hAnsi="Times New Roman" w:cs="Times New Roman"/>
        </w:rPr>
        <w:t>40</w:t>
      </w:r>
      <w:r>
        <w:rPr>
          <w:rFonts w:hint="default" w:ascii="Times New Roman" w:hAnsi="Times New Roman" w:cs="Times New Roman"/>
        </w:rPr>
        <w:fldChar w:fldCharType="end"/>
      </w:r>
      <w:r>
        <w:rPr>
          <w:rFonts w:hint="default" w:ascii="Times New Roman" w:hAnsi="Times New Roman" w:cs="Times New Roman"/>
        </w:rPr>
        <w:fldChar w:fldCharType="end"/>
      </w:r>
    </w:p>
    <w:p w14:paraId="78DE3484">
      <w:pPr>
        <w:pStyle w:val="11"/>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"_Toc67935939" </w:instrText>
      </w:r>
      <w:r>
        <w:rPr>
          <w:rFonts w:hint="default" w:ascii="Times New Roman" w:hAnsi="Times New Roman" w:cs="Times New Roman"/>
        </w:rPr>
        <w:fldChar w:fldCharType="separate"/>
      </w:r>
      <w:r>
        <w:rPr>
          <w:rStyle w:val="17"/>
          <w:rFonts w:hint="default" w:ascii="Times New Roman" w:hAnsi="Times New Roman" w:eastAsia="黑体" w:cs="Times New Roman"/>
        </w:rPr>
        <w:t>（四）强化资金保障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_Toc67935939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cs="Times New Roman"/>
        </w:rPr>
        <w:fldChar w:fldCharType="end"/>
      </w:r>
    </w:p>
    <w:p w14:paraId="2F167BD1">
      <w:pPr>
        <w:pStyle w:val="10"/>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"_Toc67935940" </w:instrText>
      </w:r>
      <w:r>
        <w:rPr>
          <w:rFonts w:hint="default" w:ascii="Times New Roman" w:hAnsi="Times New Roman" w:cs="Times New Roman"/>
        </w:rPr>
        <w:fldChar w:fldCharType="separate"/>
      </w:r>
      <w:r>
        <w:rPr>
          <w:rStyle w:val="17"/>
          <w:rFonts w:hint="default" w:ascii="Times New Roman" w:hAnsi="Times New Roman" w:cs="Times New Roman"/>
        </w:rPr>
        <w:t>附录1：</w:t>
      </w:r>
      <w:r>
        <w:rPr>
          <w:rStyle w:val="17"/>
          <w:rFonts w:hint="eastAsia" w:ascii="Times New Roman" w:hAnsi="Times New Roman" w:cs="Times New Roman"/>
          <w:lang w:eastAsia="zh-CN"/>
        </w:rPr>
        <w:t>“</w:t>
      </w:r>
      <w:r>
        <w:rPr>
          <w:rStyle w:val="17"/>
          <w:rFonts w:hint="default" w:ascii="Times New Roman" w:hAnsi="Times New Roman" w:cs="Times New Roman"/>
        </w:rPr>
        <w:t>十四五</w:t>
      </w:r>
      <w:r>
        <w:rPr>
          <w:rStyle w:val="17"/>
          <w:rFonts w:hint="eastAsia" w:ascii="Times New Roman" w:hAnsi="Times New Roman" w:cs="Times New Roman"/>
          <w:lang w:eastAsia="zh-CN"/>
        </w:rPr>
        <w:t>”</w:t>
      </w:r>
      <w:r>
        <w:rPr>
          <w:rStyle w:val="17"/>
          <w:rFonts w:hint="default" w:ascii="Times New Roman" w:hAnsi="Times New Roman" w:cs="Times New Roman"/>
        </w:rPr>
        <w:t>重大项目专项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_Toc67935940 \h </w:instrText>
      </w:r>
      <w:r>
        <w:rPr>
          <w:rFonts w:hint="default" w:ascii="Times New Roman" w:hAnsi="Times New Roman" w:cs="Times New Roman"/>
        </w:rPr>
        <w:fldChar w:fldCharType="separate"/>
      </w:r>
      <w:r>
        <w:rPr>
          <w:rFonts w:hint="default" w:ascii="Times New Roman" w:hAnsi="Times New Roman" w:cs="Times New Roman"/>
        </w:rPr>
        <w:t>42</w:t>
      </w:r>
      <w:r>
        <w:rPr>
          <w:rFonts w:hint="default" w:ascii="Times New Roman" w:hAnsi="Times New Roman" w:cs="Times New Roman"/>
        </w:rPr>
        <w:fldChar w:fldCharType="end"/>
      </w:r>
      <w:r>
        <w:rPr>
          <w:rFonts w:hint="default" w:ascii="Times New Roman" w:hAnsi="Times New Roman" w:cs="Times New Roman"/>
        </w:rPr>
        <w:fldChar w:fldCharType="end"/>
      </w:r>
    </w:p>
    <w:p w14:paraId="453CEAE8">
      <w:pPr>
        <w:pStyle w:val="10"/>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"_Toc67935941" </w:instrText>
      </w:r>
      <w:r>
        <w:rPr>
          <w:rFonts w:hint="default" w:ascii="Times New Roman" w:hAnsi="Times New Roman" w:cs="Times New Roman"/>
        </w:rPr>
        <w:fldChar w:fldCharType="separate"/>
      </w:r>
      <w:r>
        <w:rPr>
          <w:rStyle w:val="17"/>
          <w:rFonts w:hint="default" w:ascii="Times New Roman" w:hAnsi="Times New Roman" w:cs="Times New Roman"/>
        </w:rPr>
        <w:t>附录2：主导产业重点企业梳理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_Toc67935941 \h </w:instrText>
      </w:r>
      <w:r>
        <w:rPr>
          <w:rFonts w:hint="default" w:ascii="Times New Roman" w:hAnsi="Times New Roman" w:cs="Times New Roman"/>
        </w:rPr>
        <w:fldChar w:fldCharType="separate"/>
      </w:r>
      <w:r>
        <w:rPr>
          <w:rFonts w:hint="default" w:ascii="Times New Roman" w:hAnsi="Times New Roman" w:cs="Times New Roman"/>
        </w:rPr>
        <w:t>66</w:t>
      </w:r>
      <w:r>
        <w:rPr>
          <w:rFonts w:hint="default" w:ascii="Times New Roman" w:hAnsi="Times New Roman" w:cs="Times New Roman"/>
        </w:rPr>
        <w:fldChar w:fldCharType="end"/>
      </w:r>
      <w:r>
        <w:rPr>
          <w:rFonts w:hint="default" w:ascii="Times New Roman" w:hAnsi="Times New Roman" w:cs="Times New Roman"/>
        </w:rPr>
        <w:fldChar w:fldCharType="end"/>
      </w:r>
    </w:p>
    <w:p w14:paraId="1083D750">
      <w:pPr>
        <w:pStyle w:val="10"/>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"_Toc67935942" </w:instrText>
      </w:r>
      <w:r>
        <w:rPr>
          <w:rFonts w:hint="default" w:ascii="Times New Roman" w:hAnsi="Times New Roman" w:cs="Times New Roman"/>
        </w:rPr>
        <w:fldChar w:fldCharType="separate"/>
      </w:r>
      <w:r>
        <w:rPr>
          <w:rStyle w:val="17"/>
          <w:rFonts w:hint="default" w:ascii="Times New Roman" w:hAnsi="Times New Roman" w:cs="Times New Roman"/>
        </w:rPr>
        <w:t>附录3：国家高新区典型案例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_Toc67935942 \h </w:instrText>
      </w:r>
      <w:r>
        <w:rPr>
          <w:rFonts w:hint="default" w:ascii="Times New Roman" w:hAnsi="Times New Roman" w:cs="Times New Roman"/>
        </w:rPr>
        <w:fldChar w:fldCharType="separate"/>
      </w:r>
      <w:r>
        <w:rPr>
          <w:rFonts w:hint="default" w:ascii="Times New Roman" w:hAnsi="Times New Roman" w:cs="Times New Roman"/>
        </w:rPr>
        <w:t>68</w:t>
      </w:r>
      <w:r>
        <w:rPr>
          <w:rFonts w:hint="default" w:ascii="Times New Roman" w:hAnsi="Times New Roman" w:cs="Times New Roman"/>
        </w:rPr>
        <w:fldChar w:fldCharType="end"/>
      </w:r>
      <w:r>
        <w:rPr>
          <w:rFonts w:hint="default" w:ascii="Times New Roman" w:hAnsi="Times New Roman" w:cs="Times New Roman"/>
        </w:rPr>
        <w:fldChar w:fldCharType="end"/>
      </w:r>
    </w:p>
    <w:p w14:paraId="46AFE4DF">
      <w:pPr>
        <w:pStyle w:val="10"/>
        <w:tabs>
          <w:tab w:val="right" w:leader="dot" w:pos="8296"/>
        </w:tabs>
        <w:spacing w:line="520" w:lineRule="exact"/>
        <w:rPr>
          <w:rFonts w:hint="default" w:ascii="Times New Roman" w:hAnsi="Times New Roman" w:cs="Times New Roman" w:eastAsiaTheme="minorEastAsia"/>
          <w:b w:val="0"/>
          <w:sz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"_Toc67935943" </w:instrText>
      </w:r>
      <w:r>
        <w:rPr>
          <w:rFonts w:hint="default" w:ascii="Times New Roman" w:hAnsi="Times New Roman" w:cs="Times New Roman"/>
        </w:rPr>
        <w:fldChar w:fldCharType="separate"/>
      </w:r>
      <w:r>
        <w:rPr>
          <w:rStyle w:val="17"/>
          <w:rFonts w:hint="default" w:ascii="Times New Roman" w:hAnsi="Times New Roman" w:cs="Times New Roman"/>
        </w:rPr>
        <w:t>附录4：需提请市委市政府支持事项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_Toc67935943 \h </w:instrText>
      </w:r>
      <w:r>
        <w:rPr>
          <w:rFonts w:hint="default" w:ascii="Times New Roman" w:hAnsi="Times New Roman" w:cs="Times New Roman"/>
        </w:rPr>
        <w:fldChar w:fldCharType="separate"/>
      </w:r>
      <w:r>
        <w:rPr>
          <w:rFonts w:hint="default" w:ascii="Times New Roman" w:hAnsi="Times New Roman" w:cs="Times New Roman"/>
        </w:rPr>
        <w:t>80</w:t>
      </w:r>
      <w:r>
        <w:rPr>
          <w:rFonts w:hint="default" w:ascii="Times New Roman" w:hAnsi="Times New Roman" w:cs="Times New Roman"/>
        </w:rPr>
        <w:fldChar w:fldCharType="end"/>
      </w:r>
      <w:r>
        <w:rPr>
          <w:rFonts w:hint="default" w:ascii="Times New Roman" w:hAnsi="Times New Roman" w:cs="Times New Roman"/>
        </w:rPr>
        <w:fldChar w:fldCharType="end"/>
      </w:r>
    </w:p>
    <w:p w14:paraId="47D52B03">
      <w:pPr>
        <w:widowControl/>
        <w:spacing w:line="520" w:lineRule="exact"/>
        <w:jc w:val="left"/>
        <w:rPr>
          <w:rFonts w:hint="default" w:ascii="Times New Roman" w:hAnsi="Times New Roman" w:eastAsia="黑体" w:cs="Times New Roman"/>
          <w:sz w:val="32"/>
        </w:rPr>
        <w:sectPr>
          <w:footerReference r:id="rId4" w:type="default"/>
          <w:pgSz w:w="11906" w:h="16838"/>
          <w:pgMar w:top="1440" w:right="1800" w:bottom="1440" w:left="1800" w:header="851" w:footer="992" w:gutter="0"/>
          <w:pgNumType w:fmt="upperRoman" w:start="1"/>
          <w:cols w:space="425" w:num="1"/>
          <w:docGrid w:type="lines" w:linePitch="312" w:charSpace="0"/>
        </w:sectPr>
      </w:pPr>
      <w:r>
        <w:rPr>
          <w:rFonts w:hint="default" w:ascii="Times New Roman" w:hAnsi="Times New Roman" w:eastAsia="黑体" w:cs="Times New Roman"/>
          <w:sz w:val="32"/>
        </w:rPr>
        <w:fldChar w:fldCharType="end"/>
      </w:r>
      <w:r>
        <w:rPr>
          <w:rFonts w:hint="default" w:ascii="Times New Roman" w:hAnsi="Times New Roman" w:eastAsia="黑体" w:cs="Times New Roman"/>
          <w:sz w:val="32"/>
        </w:rPr>
        <w:br w:type="page"/>
      </w:r>
    </w:p>
    <w:p w14:paraId="297259FE">
      <w:pPr>
        <w:pStyle w:val="2"/>
        <w:spacing w:before="0" w:after="0" w:line="560" w:lineRule="exact"/>
        <w:jc w:val="center"/>
        <w:rPr>
          <w:rFonts w:hint="default" w:ascii="Times New Roman" w:hAnsi="Times New Roman" w:eastAsia="黑体" w:cs="Times New Roman"/>
          <w:b w:val="0"/>
          <w:sz w:val="32"/>
        </w:rPr>
      </w:pPr>
      <w:bookmarkStart w:id="1" w:name="_Toc67935897"/>
      <w:r>
        <w:rPr>
          <w:rFonts w:hint="default" w:ascii="Times New Roman" w:hAnsi="Times New Roman" w:eastAsia="黑体" w:cs="Times New Roman"/>
          <w:sz w:val="32"/>
        </w:rPr>
        <w:t>前  言</w:t>
      </w:r>
      <w:bookmarkEnd w:id="1"/>
    </w:p>
    <w:p w14:paraId="08151872">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玉溪高新技术产业开发区（以下简称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玉溪高新区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）成立于1992年，2012年8月经国务院批准升级为国家高新技术产业开发区，实际管辖面积118.9平方公里，是距南亚、东南亚最近的国家高新区。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以来，玉溪高新区立足新经济发展主线，坚持推进科技和经济融合发展，特色产业体系发展迅猛，创新创业发展成效显著，经济社会发展实现新提升，在国家高新区综合排名中由2015年第72位上升至第62位。</w:t>
      </w:r>
    </w:p>
    <w:p w14:paraId="011D0969">
      <w:pPr>
        <w:spacing w:line="560" w:lineRule="exact"/>
        <w:ind w:firstLine="640" w:firstLineChars="200"/>
        <w:rPr>
          <w:rFonts w:hint="default" w:ascii="Times New Roman" w:hAnsi="Times New Roman" w:eastAsia="黑体" w:cs="Times New Roman"/>
          <w:sz w:val="32"/>
        </w:rPr>
        <w:sectPr>
          <w:footerReference r:id="rId5" w:type="default"/>
          <w:pgSz w:w="11906" w:h="16838"/>
          <w:pgMar w:top="1440" w:right="1800" w:bottom="1440" w:left="1800" w:header="851" w:footer="992" w:gutter="0"/>
          <w:pgNumType w:start="1"/>
          <w:cols w:space="425" w:num="1"/>
          <w:docGrid w:type="lines" w:linePitch="312" w:charSpace="0"/>
        </w:sectPr>
      </w:pPr>
      <w:r>
        <w:rPr>
          <w:rFonts w:hint="default" w:ascii="Times New Roman" w:hAnsi="Times New Roman" w:eastAsia="仿宋_GB2312" w:cs="Times New Roman"/>
          <w:sz w:val="32"/>
        </w:rPr>
        <w:t>面向</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世界面临百年未有之大变局，贸易摩擦频发，技术封锁加剧，新冠疫情影响持续化，新一轮科技革命和产业变革加速演进，新经济成为重要增长点，高质量发展成为根本要求，科技自立自强作为国家发展的战略支撑，以国内大循环为主体、国内国际双循环相互促进的新发展格局正加快构建。面对外部形势带来的巨大挑战和重大机遇，按照科技部、省、市关于编制</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规划的有关要求，根据《国务院关于促进国家高新技术产业开发区高质量发展的若干意见》、《云南省人民政府关于促进高新技术产业开发区高质量发展的实施意见》、《玉溪市国民经济和社会发展第十四个五年规划和二</w:t>
      </w:r>
      <w:r>
        <w:rPr>
          <w:rFonts w:hint="default" w:ascii="Times New Roman" w:hAnsi="Times New Roman" w:eastAsia="微软雅黑" w:cs="Times New Roman"/>
          <w:sz w:val="32"/>
        </w:rPr>
        <w:t>〇</w:t>
      </w:r>
      <w:r>
        <w:rPr>
          <w:rFonts w:hint="default" w:ascii="Times New Roman" w:hAnsi="Times New Roman" w:eastAsia="仿宋_GB2312" w:cs="Times New Roman"/>
          <w:sz w:val="32"/>
        </w:rPr>
        <w:t>三五年远景目标纲要》等，结合高新区实际，编制《玉溪高新区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发展规划纲要》，主要阐明</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期间高新区发展总体思路、主要目标、任务部署和保障措施。本规划是玉溪高新区未来五年经济社会发展的宏伟蓝图和全区人民共同奋斗的行动纲领。</w:t>
      </w:r>
      <w:r>
        <w:rPr>
          <w:rFonts w:hint="default" w:ascii="Times New Roman" w:hAnsi="Times New Roman" w:eastAsia="黑体" w:cs="Times New Roman"/>
          <w:sz w:val="32"/>
        </w:rPr>
        <w:br w:type="page"/>
      </w:r>
    </w:p>
    <w:p w14:paraId="5B0032DA">
      <w:pPr>
        <w:pStyle w:val="2"/>
        <w:spacing w:before="0" w:after="0" w:line="560" w:lineRule="exact"/>
        <w:jc w:val="center"/>
        <w:rPr>
          <w:rFonts w:hint="default" w:ascii="Times New Roman" w:hAnsi="Times New Roman" w:eastAsia="黑体" w:cs="Times New Roman"/>
          <w:sz w:val="32"/>
        </w:rPr>
      </w:pPr>
      <w:bookmarkStart w:id="2" w:name="_Toc67935898"/>
      <w:bookmarkStart w:id="3" w:name="_Toc427848426"/>
      <w:r>
        <w:rPr>
          <w:rFonts w:hint="default" w:ascii="Times New Roman" w:hAnsi="Times New Roman" w:eastAsia="黑体" w:cs="Times New Roman"/>
          <w:sz w:val="32"/>
        </w:rPr>
        <w:t>一、基础与形势</w:t>
      </w:r>
      <w:bookmarkEnd w:id="2"/>
    </w:p>
    <w:bookmarkEnd w:id="3"/>
    <w:p w14:paraId="45C3317F">
      <w:pPr>
        <w:pStyle w:val="3"/>
        <w:widowControl/>
        <w:spacing w:before="156" w:beforeLines="50" w:after="156" w:afterLines="50" w:line="520" w:lineRule="exact"/>
        <w:ind w:firstLine="640" w:firstLineChars="200"/>
        <w:rPr>
          <w:rFonts w:hint="default" w:ascii="Times New Roman" w:hAnsi="Times New Roman" w:eastAsia="黑体" w:cs="Times New Roman"/>
          <w:b w:val="0"/>
          <w:color w:val="000000" w:themeColor="text1"/>
          <w14:textFill>
            <w14:solidFill>
              <w14:schemeClr w14:val="tx1"/>
            </w14:solidFill>
          </w14:textFill>
        </w:rPr>
      </w:pPr>
      <w:bookmarkStart w:id="4" w:name="_Toc67935899"/>
      <w:r>
        <w:rPr>
          <w:rFonts w:hint="default" w:ascii="Times New Roman" w:hAnsi="Times New Roman" w:eastAsia="黑体" w:cs="Times New Roman"/>
          <w:b w:val="0"/>
          <w:color w:val="000000" w:themeColor="text1"/>
          <w14:textFill>
            <w14:solidFill>
              <w14:schemeClr w14:val="tx1"/>
            </w14:solidFill>
          </w14:textFill>
        </w:rPr>
        <w:t>（一）发展基础</w:t>
      </w:r>
      <w:bookmarkEnd w:id="4"/>
    </w:p>
    <w:p w14:paraId="5FC0B95C">
      <w:pPr>
        <w:spacing w:line="560"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期间，面对错综复杂的外部形势和持续增大的经济下行压力，玉溪高新区在市委、市政府的正确领导下，立足新经济发展主线，持续推进科技和经济融合发展，积极培育特色产业体系，强化企业主体培育，搭建双创平台载体，推进产城融合发展，优化管理体制与营商环境，经济社会发展取得了优异的成绩，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深化高质量发展奠定了坚实基础。</w:t>
      </w:r>
    </w:p>
    <w:p w14:paraId="6B2EDC76">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5" w:name="_Toc67935900"/>
      <w:r>
        <w:rPr>
          <w:rFonts w:hint="default" w:ascii="Times New Roman" w:hAnsi="Times New Roman" w:eastAsia="楷体_GB2312" w:cs="Times New Roman"/>
          <w:bCs w:val="0"/>
          <w:color w:val="000000" w:themeColor="text1"/>
          <w14:textFill>
            <w14:solidFill>
              <w14:schemeClr w14:val="tx1"/>
            </w14:solidFill>
          </w14:textFill>
        </w:rPr>
        <w:t>1.综合实力稳步提升，成为全市经济发展的重要支柱</w:t>
      </w:r>
      <w:bookmarkEnd w:id="5"/>
    </w:p>
    <w:p w14:paraId="5E0A78C3">
      <w:pPr>
        <w:spacing w:line="560"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期间，玉溪高新区经济创造能力持续稳步提升，综合实力明显增强，对全市经济发展的支撑作用日益凸显。</w:t>
      </w:r>
      <w:r>
        <w:rPr>
          <w:rFonts w:hint="default" w:ascii="Times New Roman" w:hAnsi="Times New Roman" w:eastAsia="仿宋_GB2312" w:cs="Times New Roman"/>
          <w:b/>
          <w:bCs/>
          <w:sz w:val="32"/>
        </w:rPr>
        <w:t>主要经济指标表现亮眼。</w:t>
      </w:r>
      <w:r>
        <w:rPr>
          <w:rFonts w:hint="default" w:ascii="Times New Roman" w:hAnsi="Times New Roman" w:eastAsia="仿宋_GB2312" w:cs="Times New Roman"/>
          <w:sz w:val="32"/>
        </w:rPr>
        <w:t>2020年，实现地区生产总值（含烟）522.8亿元，占全市地区生产总值的26.3%；实现规模以上工业增加值（含烟）472.2亿元，占全市69%。招商引资取得重大突破，</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累计完成招商引资总额494.2亿元，是</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十二五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招商引资总额的3.5倍。依托毗邻两亚的区位优势，外向型经济飞速发展，2020年实现进出口总额5.7亿美元，是2015年的15倍，近五年年均增长80%。</w:t>
      </w:r>
      <w:r>
        <w:rPr>
          <w:rFonts w:hint="default" w:ascii="Times New Roman" w:hAnsi="Times New Roman" w:eastAsia="仿宋_GB2312" w:cs="Times New Roman"/>
          <w:b/>
          <w:sz w:val="32"/>
        </w:rPr>
        <w:t>非烟经济提速发展。</w:t>
      </w:r>
      <w:r>
        <w:rPr>
          <w:rFonts w:hint="default" w:ascii="Times New Roman" w:hAnsi="Times New Roman" w:eastAsia="仿宋_GB2312" w:cs="Times New Roman"/>
          <w:sz w:val="32"/>
        </w:rPr>
        <w:t>2020年，实现非烟地区生产总值126.4亿元，近五年年均增长15.27%，占地区生产总值（含烟）的比重为24.2%，较2015年提高11个百分点，实现非烟规模以上工业总产值180亿元，近五年年均增长14.32%，较2015年实现翻番。</w:t>
      </w:r>
      <w:r>
        <w:rPr>
          <w:rFonts w:hint="default" w:ascii="Times New Roman" w:hAnsi="Times New Roman" w:eastAsia="仿宋_GB2312" w:cs="Times New Roman"/>
          <w:b/>
          <w:bCs/>
          <w:sz w:val="32"/>
        </w:rPr>
        <w:t>综合排名持续前进。</w:t>
      </w:r>
      <w:r>
        <w:rPr>
          <w:rFonts w:hint="default" w:ascii="Times New Roman" w:hAnsi="Times New Roman" w:eastAsia="仿宋_GB2312" w:cs="Times New Roman"/>
          <w:bCs/>
          <w:sz w:val="32"/>
        </w:rPr>
        <w:t>玉溪高新区在</w:t>
      </w:r>
      <w:bookmarkStart w:id="6" w:name="_Hlk44343807"/>
      <w:r>
        <w:rPr>
          <w:rFonts w:hint="default" w:ascii="Times New Roman" w:hAnsi="Times New Roman" w:eastAsia="仿宋_GB2312" w:cs="Times New Roman"/>
          <w:sz w:val="32"/>
        </w:rPr>
        <w:t>国家高新区综合排名</w:t>
      </w:r>
      <w:bookmarkEnd w:id="6"/>
      <w:r>
        <w:rPr>
          <w:rFonts w:hint="default" w:ascii="Times New Roman" w:hAnsi="Times New Roman" w:eastAsia="仿宋_GB2312" w:cs="Times New Roman"/>
          <w:sz w:val="32"/>
        </w:rPr>
        <w:t>由2015年的</w:t>
      </w:r>
      <w:bookmarkStart w:id="7" w:name="_Hlk66432981"/>
      <w:r>
        <w:rPr>
          <w:rFonts w:hint="default" w:ascii="Times New Roman" w:hAnsi="Times New Roman" w:eastAsia="仿宋_GB2312" w:cs="Times New Roman"/>
          <w:sz w:val="32"/>
        </w:rPr>
        <w:t>第72位上升至2020年第62位</w:t>
      </w:r>
      <w:bookmarkEnd w:id="7"/>
      <w:r>
        <w:rPr>
          <w:rFonts w:hint="default" w:ascii="Times New Roman" w:hAnsi="Times New Roman" w:eastAsia="仿宋_GB2312" w:cs="Times New Roman"/>
          <w:sz w:val="32"/>
        </w:rPr>
        <w:t>，先后荣获国家火炬玉溪高新区生物医药特色产业基地、国家级绿色园区、省服务外包示范园区、省级知识产权示范园区等称号，成功迈入创建创新型特色园区行列。</w:t>
      </w:r>
    </w:p>
    <w:p w14:paraId="371BAB1D">
      <w:pPr>
        <w:spacing w:line="560" w:lineRule="exact"/>
        <w:jc w:val="center"/>
        <w:rPr>
          <w:rFonts w:hint="default" w:ascii="Times New Roman" w:hAnsi="Times New Roman" w:eastAsia="仿宋_GB2312" w:cs="Times New Roman"/>
          <w:b/>
          <w:sz w:val="24"/>
          <w:szCs w:val="32"/>
        </w:rPr>
      </w:pPr>
      <w:r>
        <w:rPr>
          <w:rFonts w:hint="default" w:ascii="Times New Roman" w:hAnsi="Times New Roman" w:eastAsia="仿宋_GB2312" w:cs="Times New Roman"/>
          <w:b/>
          <w:sz w:val="24"/>
          <w:szCs w:val="32"/>
        </w:rPr>
        <w:t>表1 玉溪高新区</w:t>
      </w:r>
      <w:r>
        <w:rPr>
          <w:rFonts w:hint="eastAsia" w:ascii="Times New Roman" w:hAnsi="Times New Roman" w:eastAsia="仿宋_GB2312" w:cs="Times New Roman"/>
          <w:b/>
          <w:sz w:val="24"/>
          <w:szCs w:val="32"/>
          <w:lang w:eastAsia="zh-CN"/>
        </w:rPr>
        <w:t>“</w:t>
      </w:r>
      <w:r>
        <w:rPr>
          <w:rFonts w:hint="default" w:ascii="Times New Roman" w:hAnsi="Times New Roman" w:eastAsia="仿宋_GB2312" w:cs="Times New Roman"/>
          <w:b/>
          <w:sz w:val="24"/>
          <w:szCs w:val="32"/>
        </w:rPr>
        <w:t>十三五</w:t>
      </w:r>
      <w:r>
        <w:rPr>
          <w:rFonts w:hint="eastAsia" w:ascii="Times New Roman" w:hAnsi="Times New Roman" w:eastAsia="仿宋_GB2312" w:cs="Times New Roman"/>
          <w:b/>
          <w:sz w:val="24"/>
          <w:szCs w:val="32"/>
          <w:lang w:eastAsia="zh-CN"/>
        </w:rPr>
        <w:t>”</w:t>
      </w:r>
      <w:r>
        <w:rPr>
          <w:rFonts w:hint="default" w:ascii="Times New Roman" w:hAnsi="Times New Roman" w:eastAsia="仿宋_GB2312" w:cs="Times New Roman"/>
          <w:b/>
          <w:sz w:val="24"/>
          <w:szCs w:val="32"/>
        </w:rPr>
        <w:t>主要经济指标完成情况</w:t>
      </w:r>
    </w:p>
    <w:tbl>
      <w:tblPr>
        <w:tblStyle w:val="26"/>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993"/>
        <w:gridCol w:w="992"/>
        <w:gridCol w:w="992"/>
        <w:gridCol w:w="992"/>
      </w:tblGrid>
      <w:tr w14:paraId="7FC8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blHeader/>
          <w:jc w:val="center"/>
        </w:trPr>
        <w:tc>
          <w:tcPr>
            <w:tcW w:w="4394" w:type="dxa"/>
            <w:vAlign w:val="center"/>
          </w:tcPr>
          <w:p w14:paraId="1C48568D">
            <w:pPr>
              <w:widowControl/>
              <w:spacing w:line="280" w:lineRule="exact"/>
              <w:jc w:val="center"/>
              <w:rPr>
                <w:rFonts w:hint="default" w:ascii="Times New Roman" w:hAnsi="Times New Roman" w:eastAsia="仿宋_GB2312" w:cs="Times New Roman"/>
                <w:b/>
                <w:bCs/>
                <w:sz w:val="22"/>
                <w:szCs w:val="18"/>
              </w:rPr>
            </w:pPr>
            <w:r>
              <w:rPr>
                <w:rFonts w:hint="default" w:ascii="Times New Roman" w:hAnsi="Times New Roman" w:eastAsia="仿宋_GB2312" w:cs="Times New Roman"/>
                <w:b/>
                <w:bCs/>
                <w:sz w:val="22"/>
                <w:szCs w:val="18"/>
              </w:rPr>
              <w:t>指标名称</w:t>
            </w:r>
          </w:p>
        </w:tc>
        <w:tc>
          <w:tcPr>
            <w:tcW w:w="993" w:type="dxa"/>
            <w:vAlign w:val="center"/>
          </w:tcPr>
          <w:p w14:paraId="0E442F85">
            <w:pPr>
              <w:widowControl/>
              <w:spacing w:line="280" w:lineRule="exact"/>
              <w:jc w:val="center"/>
              <w:rPr>
                <w:rFonts w:hint="default" w:ascii="Times New Roman" w:hAnsi="Times New Roman" w:eastAsia="仿宋_GB2312" w:cs="Times New Roman"/>
                <w:b/>
                <w:bCs/>
                <w:sz w:val="22"/>
                <w:szCs w:val="18"/>
              </w:rPr>
            </w:pPr>
            <w:r>
              <w:rPr>
                <w:rFonts w:hint="default" w:ascii="Times New Roman" w:hAnsi="Times New Roman" w:eastAsia="仿宋_GB2312" w:cs="Times New Roman"/>
                <w:b/>
                <w:bCs/>
                <w:sz w:val="22"/>
                <w:szCs w:val="18"/>
              </w:rPr>
              <w:t>单位</w:t>
            </w:r>
          </w:p>
        </w:tc>
        <w:tc>
          <w:tcPr>
            <w:tcW w:w="992" w:type="dxa"/>
            <w:vAlign w:val="center"/>
          </w:tcPr>
          <w:p w14:paraId="61FEE8EF">
            <w:pPr>
              <w:widowControl/>
              <w:spacing w:line="280" w:lineRule="exact"/>
              <w:jc w:val="center"/>
              <w:rPr>
                <w:rFonts w:hint="default" w:ascii="Times New Roman" w:hAnsi="Times New Roman" w:eastAsia="仿宋_GB2312" w:cs="Times New Roman"/>
                <w:b/>
                <w:bCs/>
                <w:sz w:val="22"/>
                <w:szCs w:val="18"/>
              </w:rPr>
            </w:pPr>
            <w:r>
              <w:rPr>
                <w:rFonts w:hint="default" w:ascii="Times New Roman" w:hAnsi="Times New Roman" w:eastAsia="仿宋_GB2312" w:cs="Times New Roman"/>
                <w:b/>
                <w:bCs/>
                <w:sz w:val="22"/>
                <w:szCs w:val="18"/>
              </w:rPr>
              <w:t>2015年基数</w:t>
            </w:r>
          </w:p>
        </w:tc>
        <w:tc>
          <w:tcPr>
            <w:tcW w:w="992" w:type="dxa"/>
            <w:vAlign w:val="center"/>
          </w:tcPr>
          <w:p w14:paraId="298729C0">
            <w:pPr>
              <w:widowControl/>
              <w:spacing w:line="280" w:lineRule="exact"/>
              <w:jc w:val="center"/>
              <w:rPr>
                <w:rFonts w:hint="default" w:ascii="Times New Roman" w:hAnsi="Times New Roman" w:eastAsia="仿宋_GB2312" w:cs="Times New Roman"/>
                <w:b/>
                <w:bCs/>
                <w:sz w:val="22"/>
                <w:szCs w:val="18"/>
              </w:rPr>
            </w:pPr>
            <w:r>
              <w:rPr>
                <w:rFonts w:hint="default" w:ascii="Times New Roman" w:hAnsi="Times New Roman" w:eastAsia="仿宋_GB2312" w:cs="Times New Roman"/>
                <w:b/>
                <w:bCs/>
                <w:sz w:val="22"/>
                <w:szCs w:val="18"/>
              </w:rPr>
              <w:t>2020年目标</w:t>
            </w:r>
          </w:p>
        </w:tc>
        <w:tc>
          <w:tcPr>
            <w:tcW w:w="992" w:type="dxa"/>
            <w:vAlign w:val="center"/>
          </w:tcPr>
          <w:p w14:paraId="144C32B2">
            <w:pPr>
              <w:widowControl/>
              <w:spacing w:line="280" w:lineRule="exact"/>
              <w:jc w:val="center"/>
              <w:rPr>
                <w:rFonts w:hint="default" w:ascii="Times New Roman" w:hAnsi="Times New Roman" w:eastAsia="仿宋_GB2312" w:cs="Times New Roman"/>
                <w:b/>
                <w:bCs/>
                <w:sz w:val="22"/>
                <w:szCs w:val="18"/>
              </w:rPr>
            </w:pPr>
            <w:r>
              <w:rPr>
                <w:rFonts w:hint="default" w:ascii="Times New Roman" w:hAnsi="Times New Roman" w:eastAsia="仿宋_GB2312" w:cs="Times New Roman"/>
                <w:b/>
                <w:bCs/>
                <w:sz w:val="22"/>
                <w:szCs w:val="18"/>
              </w:rPr>
              <w:t>2020年实际</w:t>
            </w:r>
          </w:p>
        </w:tc>
      </w:tr>
      <w:tr w14:paraId="2E54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94" w:type="dxa"/>
            <w:vAlign w:val="center"/>
          </w:tcPr>
          <w:p w14:paraId="3E765CB6">
            <w:pPr>
              <w:widowControl/>
              <w:spacing w:line="280" w:lineRule="exact"/>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全口径地区生产总值</w:t>
            </w:r>
          </w:p>
        </w:tc>
        <w:tc>
          <w:tcPr>
            <w:tcW w:w="993" w:type="dxa"/>
            <w:vAlign w:val="center"/>
          </w:tcPr>
          <w:p w14:paraId="378D519B">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亿元</w:t>
            </w:r>
          </w:p>
        </w:tc>
        <w:tc>
          <w:tcPr>
            <w:tcW w:w="992" w:type="dxa"/>
            <w:vAlign w:val="center"/>
          </w:tcPr>
          <w:p w14:paraId="7701B304">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471.6</w:t>
            </w:r>
          </w:p>
        </w:tc>
        <w:tc>
          <w:tcPr>
            <w:tcW w:w="992" w:type="dxa"/>
            <w:vAlign w:val="center"/>
          </w:tcPr>
          <w:p w14:paraId="5A3D8DE2">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530</w:t>
            </w:r>
          </w:p>
        </w:tc>
        <w:tc>
          <w:tcPr>
            <w:tcW w:w="992" w:type="dxa"/>
            <w:vAlign w:val="center"/>
          </w:tcPr>
          <w:p w14:paraId="549DD82A">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522.8</w:t>
            </w:r>
          </w:p>
        </w:tc>
      </w:tr>
      <w:tr w14:paraId="6B0E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94" w:type="dxa"/>
            <w:vAlign w:val="center"/>
          </w:tcPr>
          <w:p w14:paraId="7CFACE52">
            <w:pPr>
              <w:widowControl/>
              <w:spacing w:line="280" w:lineRule="exact"/>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全口径规上工业总产值</w:t>
            </w:r>
          </w:p>
        </w:tc>
        <w:tc>
          <w:tcPr>
            <w:tcW w:w="993" w:type="dxa"/>
            <w:vAlign w:val="center"/>
          </w:tcPr>
          <w:p w14:paraId="105C3CC3">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亿元</w:t>
            </w:r>
          </w:p>
        </w:tc>
        <w:tc>
          <w:tcPr>
            <w:tcW w:w="992" w:type="dxa"/>
            <w:vAlign w:val="center"/>
          </w:tcPr>
          <w:p w14:paraId="5B121D92">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601.4</w:t>
            </w:r>
          </w:p>
        </w:tc>
        <w:tc>
          <w:tcPr>
            <w:tcW w:w="992" w:type="dxa"/>
            <w:vAlign w:val="center"/>
          </w:tcPr>
          <w:p w14:paraId="50178885">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710</w:t>
            </w:r>
          </w:p>
        </w:tc>
        <w:tc>
          <w:tcPr>
            <w:tcW w:w="992" w:type="dxa"/>
            <w:vAlign w:val="center"/>
          </w:tcPr>
          <w:p w14:paraId="45938F89">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688.4</w:t>
            </w:r>
          </w:p>
        </w:tc>
      </w:tr>
      <w:tr w14:paraId="205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94" w:type="dxa"/>
            <w:vAlign w:val="center"/>
          </w:tcPr>
          <w:p w14:paraId="527BAF70">
            <w:pPr>
              <w:widowControl/>
              <w:spacing w:line="280" w:lineRule="exact"/>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全口径规上工业增加值</w:t>
            </w:r>
          </w:p>
        </w:tc>
        <w:tc>
          <w:tcPr>
            <w:tcW w:w="993" w:type="dxa"/>
            <w:vAlign w:val="center"/>
          </w:tcPr>
          <w:p w14:paraId="4978B841">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亿元</w:t>
            </w:r>
          </w:p>
        </w:tc>
        <w:tc>
          <w:tcPr>
            <w:tcW w:w="992" w:type="dxa"/>
            <w:vAlign w:val="center"/>
          </w:tcPr>
          <w:p w14:paraId="2AAAA425">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447.5</w:t>
            </w:r>
          </w:p>
        </w:tc>
        <w:tc>
          <w:tcPr>
            <w:tcW w:w="992" w:type="dxa"/>
            <w:vAlign w:val="center"/>
          </w:tcPr>
          <w:p w14:paraId="3DBD2078">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435</w:t>
            </w:r>
          </w:p>
        </w:tc>
        <w:tc>
          <w:tcPr>
            <w:tcW w:w="992" w:type="dxa"/>
            <w:vAlign w:val="center"/>
          </w:tcPr>
          <w:p w14:paraId="37E9B812">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472.2</w:t>
            </w:r>
          </w:p>
        </w:tc>
      </w:tr>
      <w:tr w14:paraId="6B72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94" w:type="dxa"/>
            <w:vAlign w:val="center"/>
          </w:tcPr>
          <w:p w14:paraId="5E661312">
            <w:pPr>
              <w:widowControl/>
              <w:spacing w:line="280" w:lineRule="exact"/>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非烟地区生产总值</w:t>
            </w:r>
          </w:p>
        </w:tc>
        <w:tc>
          <w:tcPr>
            <w:tcW w:w="993" w:type="dxa"/>
            <w:vAlign w:val="center"/>
          </w:tcPr>
          <w:p w14:paraId="1C175B86">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亿元</w:t>
            </w:r>
          </w:p>
        </w:tc>
        <w:tc>
          <w:tcPr>
            <w:tcW w:w="992" w:type="dxa"/>
            <w:vAlign w:val="center"/>
          </w:tcPr>
          <w:p w14:paraId="65DC281C">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62.1</w:t>
            </w:r>
          </w:p>
        </w:tc>
        <w:tc>
          <w:tcPr>
            <w:tcW w:w="992" w:type="dxa"/>
            <w:vAlign w:val="center"/>
          </w:tcPr>
          <w:p w14:paraId="7E54BB36">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125</w:t>
            </w:r>
          </w:p>
        </w:tc>
        <w:tc>
          <w:tcPr>
            <w:tcW w:w="992" w:type="dxa"/>
            <w:vAlign w:val="center"/>
          </w:tcPr>
          <w:p w14:paraId="58E76D02">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126.4</w:t>
            </w:r>
          </w:p>
        </w:tc>
      </w:tr>
      <w:tr w14:paraId="30A8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94" w:type="dxa"/>
            <w:vAlign w:val="center"/>
          </w:tcPr>
          <w:p w14:paraId="7C32AE4D">
            <w:pPr>
              <w:widowControl/>
              <w:spacing w:line="280" w:lineRule="exact"/>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非烟规上工业总产值</w:t>
            </w:r>
          </w:p>
        </w:tc>
        <w:tc>
          <w:tcPr>
            <w:tcW w:w="993" w:type="dxa"/>
            <w:vAlign w:val="center"/>
          </w:tcPr>
          <w:p w14:paraId="29795D51">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亿元</w:t>
            </w:r>
          </w:p>
        </w:tc>
        <w:tc>
          <w:tcPr>
            <w:tcW w:w="992" w:type="dxa"/>
            <w:vAlign w:val="center"/>
          </w:tcPr>
          <w:p w14:paraId="13FF1355">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92.2</w:t>
            </w:r>
          </w:p>
        </w:tc>
        <w:tc>
          <w:tcPr>
            <w:tcW w:w="992" w:type="dxa"/>
            <w:vAlign w:val="center"/>
          </w:tcPr>
          <w:p w14:paraId="0B19C685">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200</w:t>
            </w:r>
          </w:p>
        </w:tc>
        <w:tc>
          <w:tcPr>
            <w:tcW w:w="992" w:type="dxa"/>
            <w:vAlign w:val="center"/>
          </w:tcPr>
          <w:p w14:paraId="74C0D0CF">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180</w:t>
            </w:r>
          </w:p>
        </w:tc>
      </w:tr>
      <w:tr w14:paraId="5B00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94" w:type="dxa"/>
            <w:vAlign w:val="center"/>
          </w:tcPr>
          <w:p w14:paraId="0556FBDB">
            <w:pPr>
              <w:widowControl/>
              <w:spacing w:line="280" w:lineRule="exact"/>
              <w:rPr>
                <w:rFonts w:hint="default" w:ascii="Times New Roman" w:hAnsi="Times New Roman" w:eastAsia="仿宋_GB2312" w:cs="Times New Roman"/>
                <w:color w:val="000000" w:themeColor="text1"/>
                <w:sz w:val="22"/>
                <w:szCs w:val="18"/>
                <w14:textFill>
                  <w14:solidFill>
                    <w14:schemeClr w14:val="tx1"/>
                  </w14:solidFill>
                </w14:textFill>
              </w:rPr>
            </w:pPr>
            <w:r>
              <w:rPr>
                <w:rFonts w:hint="default" w:ascii="Times New Roman" w:hAnsi="Times New Roman" w:eastAsia="仿宋_GB2312" w:cs="Times New Roman"/>
                <w:color w:val="000000" w:themeColor="text1"/>
                <w:sz w:val="22"/>
                <w:szCs w:val="18"/>
                <w14:textFill>
                  <w14:solidFill>
                    <w14:schemeClr w14:val="tx1"/>
                  </w14:solidFill>
                </w14:textFill>
              </w:rPr>
              <w:t>非烟规上工业增加值</w:t>
            </w:r>
          </w:p>
        </w:tc>
        <w:tc>
          <w:tcPr>
            <w:tcW w:w="993" w:type="dxa"/>
            <w:vAlign w:val="center"/>
          </w:tcPr>
          <w:p w14:paraId="193D1655">
            <w:pPr>
              <w:widowControl/>
              <w:spacing w:line="280" w:lineRule="exact"/>
              <w:jc w:val="center"/>
              <w:rPr>
                <w:rFonts w:hint="default" w:ascii="Times New Roman" w:hAnsi="Times New Roman" w:eastAsia="仿宋_GB2312" w:cs="Times New Roman"/>
                <w:color w:val="000000" w:themeColor="text1"/>
                <w:sz w:val="22"/>
                <w:szCs w:val="18"/>
                <w14:textFill>
                  <w14:solidFill>
                    <w14:schemeClr w14:val="tx1"/>
                  </w14:solidFill>
                </w14:textFill>
              </w:rPr>
            </w:pPr>
            <w:r>
              <w:rPr>
                <w:rFonts w:hint="default" w:ascii="Times New Roman" w:hAnsi="Times New Roman" w:eastAsia="仿宋_GB2312" w:cs="Times New Roman"/>
                <w:color w:val="000000" w:themeColor="text1"/>
                <w:sz w:val="22"/>
                <w:szCs w:val="18"/>
                <w14:textFill>
                  <w14:solidFill>
                    <w14:schemeClr w14:val="tx1"/>
                  </w14:solidFill>
                </w14:textFill>
              </w:rPr>
              <w:t>亿元</w:t>
            </w:r>
          </w:p>
        </w:tc>
        <w:tc>
          <w:tcPr>
            <w:tcW w:w="992" w:type="dxa"/>
            <w:vAlign w:val="center"/>
          </w:tcPr>
          <w:p w14:paraId="4C85B39F">
            <w:pPr>
              <w:widowControl/>
              <w:spacing w:line="280" w:lineRule="exact"/>
              <w:jc w:val="center"/>
              <w:rPr>
                <w:rFonts w:hint="default" w:ascii="Times New Roman" w:hAnsi="Times New Roman" w:eastAsia="仿宋_GB2312" w:cs="Times New Roman"/>
                <w:color w:val="000000" w:themeColor="text1"/>
                <w:sz w:val="22"/>
                <w:szCs w:val="18"/>
                <w14:textFill>
                  <w14:solidFill>
                    <w14:schemeClr w14:val="tx1"/>
                  </w14:solidFill>
                </w14:textFill>
              </w:rPr>
            </w:pPr>
            <w:r>
              <w:rPr>
                <w:rFonts w:hint="default" w:ascii="Times New Roman" w:hAnsi="Times New Roman" w:eastAsia="仿宋_GB2312" w:cs="Times New Roman"/>
                <w:color w:val="000000" w:themeColor="text1"/>
                <w:sz w:val="22"/>
                <w:szCs w:val="18"/>
                <w14:textFill>
                  <w14:solidFill>
                    <w14:schemeClr w14:val="tx1"/>
                  </w14:solidFill>
                </w14:textFill>
              </w:rPr>
              <w:t>26.4</w:t>
            </w:r>
          </w:p>
        </w:tc>
        <w:tc>
          <w:tcPr>
            <w:tcW w:w="992" w:type="dxa"/>
            <w:vAlign w:val="center"/>
          </w:tcPr>
          <w:p w14:paraId="7E2B8479">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60</w:t>
            </w:r>
          </w:p>
        </w:tc>
        <w:tc>
          <w:tcPr>
            <w:tcW w:w="992" w:type="dxa"/>
            <w:vAlign w:val="center"/>
          </w:tcPr>
          <w:p w14:paraId="79A2EF9B">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59.2</w:t>
            </w:r>
          </w:p>
        </w:tc>
      </w:tr>
      <w:tr w14:paraId="75F4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94" w:type="dxa"/>
            <w:vAlign w:val="center"/>
          </w:tcPr>
          <w:p w14:paraId="6DDF9B29">
            <w:pPr>
              <w:widowControl/>
              <w:spacing w:line="280" w:lineRule="exact"/>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非烟园区技工贸总收入</w:t>
            </w:r>
          </w:p>
        </w:tc>
        <w:tc>
          <w:tcPr>
            <w:tcW w:w="993" w:type="dxa"/>
            <w:vAlign w:val="center"/>
          </w:tcPr>
          <w:p w14:paraId="2A5702D0">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亿元</w:t>
            </w:r>
          </w:p>
        </w:tc>
        <w:tc>
          <w:tcPr>
            <w:tcW w:w="992" w:type="dxa"/>
            <w:vAlign w:val="center"/>
          </w:tcPr>
          <w:p w14:paraId="672E603C">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231</w:t>
            </w:r>
          </w:p>
        </w:tc>
        <w:tc>
          <w:tcPr>
            <w:tcW w:w="992" w:type="dxa"/>
            <w:vAlign w:val="center"/>
          </w:tcPr>
          <w:p w14:paraId="0CBEB9E9">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510</w:t>
            </w:r>
          </w:p>
        </w:tc>
        <w:tc>
          <w:tcPr>
            <w:tcW w:w="992" w:type="dxa"/>
            <w:vAlign w:val="center"/>
          </w:tcPr>
          <w:p w14:paraId="1512B950">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485</w:t>
            </w:r>
          </w:p>
        </w:tc>
      </w:tr>
      <w:tr w14:paraId="2F7A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94" w:type="dxa"/>
            <w:vAlign w:val="center"/>
          </w:tcPr>
          <w:p w14:paraId="2DB4F5D5">
            <w:pPr>
              <w:widowControl/>
              <w:spacing w:line="280" w:lineRule="exact"/>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固定资产投资—新制度</w:t>
            </w:r>
          </w:p>
        </w:tc>
        <w:tc>
          <w:tcPr>
            <w:tcW w:w="993" w:type="dxa"/>
            <w:vAlign w:val="center"/>
          </w:tcPr>
          <w:p w14:paraId="5252F5F2">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亿元</w:t>
            </w:r>
          </w:p>
        </w:tc>
        <w:tc>
          <w:tcPr>
            <w:tcW w:w="992" w:type="dxa"/>
            <w:vAlign w:val="center"/>
          </w:tcPr>
          <w:p w14:paraId="7D189636">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30.1</w:t>
            </w:r>
          </w:p>
        </w:tc>
        <w:tc>
          <w:tcPr>
            <w:tcW w:w="992" w:type="dxa"/>
            <w:vAlign w:val="center"/>
          </w:tcPr>
          <w:p w14:paraId="0FE45A3D">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42</w:t>
            </w:r>
          </w:p>
        </w:tc>
        <w:tc>
          <w:tcPr>
            <w:tcW w:w="992" w:type="dxa"/>
            <w:vAlign w:val="center"/>
          </w:tcPr>
          <w:p w14:paraId="10B86EDE">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34.4</w:t>
            </w:r>
          </w:p>
        </w:tc>
      </w:tr>
      <w:tr w14:paraId="6E56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94" w:type="dxa"/>
            <w:vAlign w:val="center"/>
          </w:tcPr>
          <w:p w14:paraId="3BEBCCFB">
            <w:pPr>
              <w:widowControl/>
              <w:spacing w:line="280" w:lineRule="exact"/>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公共财政预算收入</w:t>
            </w:r>
          </w:p>
        </w:tc>
        <w:tc>
          <w:tcPr>
            <w:tcW w:w="993" w:type="dxa"/>
            <w:vAlign w:val="center"/>
          </w:tcPr>
          <w:p w14:paraId="4B3066B9">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亿元</w:t>
            </w:r>
          </w:p>
        </w:tc>
        <w:tc>
          <w:tcPr>
            <w:tcW w:w="992" w:type="dxa"/>
            <w:vAlign w:val="center"/>
          </w:tcPr>
          <w:p w14:paraId="18D00378">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4.7</w:t>
            </w:r>
          </w:p>
        </w:tc>
        <w:tc>
          <w:tcPr>
            <w:tcW w:w="992" w:type="dxa"/>
            <w:vAlign w:val="center"/>
          </w:tcPr>
          <w:p w14:paraId="2CCD6B1F">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5.5</w:t>
            </w:r>
          </w:p>
        </w:tc>
        <w:tc>
          <w:tcPr>
            <w:tcW w:w="992" w:type="dxa"/>
            <w:vAlign w:val="center"/>
          </w:tcPr>
          <w:p w14:paraId="1040C3C4">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5.8</w:t>
            </w:r>
          </w:p>
        </w:tc>
      </w:tr>
      <w:tr w14:paraId="5D7A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94" w:type="dxa"/>
            <w:vAlign w:val="center"/>
          </w:tcPr>
          <w:p w14:paraId="116BD620">
            <w:pPr>
              <w:widowControl/>
              <w:spacing w:line="280" w:lineRule="exact"/>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招商引资到位资金</w:t>
            </w:r>
          </w:p>
        </w:tc>
        <w:tc>
          <w:tcPr>
            <w:tcW w:w="993" w:type="dxa"/>
            <w:vAlign w:val="center"/>
          </w:tcPr>
          <w:p w14:paraId="7EEAB55C">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亿元</w:t>
            </w:r>
          </w:p>
        </w:tc>
        <w:tc>
          <w:tcPr>
            <w:tcW w:w="992" w:type="dxa"/>
            <w:vAlign w:val="center"/>
          </w:tcPr>
          <w:p w14:paraId="45AF29E0">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50</w:t>
            </w:r>
          </w:p>
        </w:tc>
        <w:tc>
          <w:tcPr>
            <w:tcW w:w="992" w:type="dxa"/>
            <w:vAlign w:val="center"/>
          </w:tcPr>
          <w:p w14:paraId="6C58C95B">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125</w:t>
            </w:r>
          </w:p>
        </w:tc>
        <w:tc>
          <w:tcPr>
            <w:tcW w:w="992" w:type="dxa"/>
            <w:vAlign w:val="center"/>
          </w:tcPr>
          <w:p w14:paraId="15C69005">
            <w:pPr>
              <w:widowControl/>
              <w:spacing w:line="280" w:lineRule="exact"/>
              <w:jc w:val="center"/>
              <w:rPr>
                <w:rFonts w:hint="default" w:ascii="Times New Roman" w:hAnsi="Times New Roman" w:eastAsia="仿宋_GB2312" w:cs="Times New Roman"/>
                <w:sz w:val="22"/>
                <w:szCs w:val="18"/>
                <w:highlight w:val="yellow"/>
              </w:rPr>
            </w:pPr>
            <w:r>
              <w:rPr>
                <w:rFonts w:hint="default" w:ascii="Times New Roman" w:hAnsi="Times New Roman" w:eastAsia="仿宋_GB2312" w:cs="Times New Roman"/>
                <w:sz w:val="22"/>
                <w:szCs w:val="18"/>
              </w:rPr>
              <w:t>80</w:t>
            </w:r>
          </w:p>
        </w:tc>
      </w:tr>
      <w:tr w14:paraId="5AB5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94" w:type="dxa"/>
            <w:vAlign w:val="center"/>
          </w:tcPr>
          <w:p w14:paraId="5968F805">
            <w:pPr>
              <w:widowControl/>
              <w:spacing w:line="280" w:lineRule="exact"/>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社会消费品零售总额</w:t>
            </w:r>
          </w:p>
        </w:tc>
        <w:tc>
          <w:tcPr>
            <w:tcW w:w="993" w:type="dxa"/>
            <w:vAlign w:val="center"/>
          </w:tcPr>
          <w:p w14:paraId="4BE301A0">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亿元</w:t>
            </w:r>
          </w:p>
        </w:tc>
        <w:tc>
          <w:tcPr>
            <w:tcW w:w="992" w:type="dxa"/>
            <w:vAlign w:val="center"/>
          </w:tcPr>
          <w:p w14:paraId="12761C6E">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48.9</w:t>
            </w:r>
          </w:p>
        </w:tc>
        <w:tc>
          <w:tcPr>
            <w:tcW w:w="992" w:type="dxa"/>
            <w:vAlign w:val="center"/>
          </w:tcPr>
          <w:p w14:paraId="5C14C009">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30</w:t>
            </w:r>
          </w:p>
        </w:tc>
        <w:tc>
          <w:tcPr>
            <w:tcW w:w="992" w:type="dxa"/>
            <w:vAlign w:val="center"/>
          </w:tcPr>
          <w:p w14:paraId="5B6FAC1E">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34.9</w:t>
            </w:r>
          </w:p>
        </w:tc>
      </w:tr>
      <w:tr w14:paraId="45AB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394" w:type="dxa"/>
            <w:vAlign w:val="center"/>
          </w:tcPr>
          <w:p w14:paraId="4650AC64">
            <w:pPr>
              <w:widowControl/>
              <w:spacing w:line="280" w:lineRule="exact"/>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外贸进出口总额</w:t>
            </w:r>
          </w:p>
        </w:tc>
        <w:tc>
          <w:tcPr>
            <w:tcW w:w="993" w:type="dxa"/>
            <w:vAlign w:val="center"/>
          </w:tcPr>
          <w:p w14:paraId="285121DC">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万美元</w:t>
            </w:r>
          </w:p>
        </w:tc>
        <w:tc>
          <w:tcPr>
            <w:tcW w:w="992" w:type="dxa"/>
            <w:vAlign w:val="center"/>
          </w:tcPr>
          <w:p w14:paraId="21008C21">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3885</w:t>
            </w:r>
          </w:p>
        </w:tc>
        <w:tc>
          <w:tcPr>
            <w:tcW w:w="992" w:type="dxa"/>
            <w:vAlign w:val="center"/>
          </w:tcPr>
          <w:p w14:paraId="67D4E93A">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45000</w:t>
            </w:r>
          </w:p>
        </w:tc>
        <w:tc>
          <w:tcPr>
            <w:tcW w:w="992" w:type="dxa"/>
            <w:vAlign w:val="center"/>
          </w:tcPr>
          <w:p w14:paraId="044D1BB9">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60756</w:t>
            </w:r>
          </w:p>
        </w:tc>
      </w:tr>
    </w:tbl>
    <w:p w14:paraId="7AF9329B">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8" w:name="_Toc67935901"/>
      <w:r>
        <w:rPr>
          <w:rFonts w:hint="default" w:ascii="Times New Roman" w:hAnsi="Times New Roman" w:eastAsia="楷体_GB2312" w:cs="Times New Roman"/>
          <w:bCs w:val="0"/>
          <w:color w:val="000000" w:themeColor="text1"/>
          <w14:textFill>
            <w14:solidFill>
              <w14:schemeClr w14:val="tx1"/>
            </w14:solidFill>
          </w14:textFill>
        </w:rPr>
        <w:t>2.产业体系特色明显，新业态培育初见成效</w:t>
      </w:r>
      <w:bookmarkEnd w:id="8"/>
    </w:p>
    <w:p w14:paraId="0B658EE4">
      <w:pPr>
        <w:spacing w:line="560"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期间，玉溪高新区立足本地基础优势，坚持传统产业提升和新兴产业培育两手抓，实现产业规模与质量的双提升。</w:t>
      </w:r>
      <w:r>
        <w:rPr>
          <w:rFonts w:hint="default" w:ascii="Times New Roman" w:hAnsi="Times New Roman" w:eastAsia="仿宋_GB2312" w:cs="Times New Roman"/>
          <w:b/>
          <w:bCs/>
          <w:sz w:val="32"/>
        </w:rPr>
        <w:t>卷烟及配套产业积极转型发展。</w:t>
      </w:r>
      <w:r>
        <w:rPr>
          <w:rFonts w:hint="default" w:ascii="Times New Roman" w:hAnsi="Times New Roman" w:eastAsia="仿宋_GB2312" w:cs="Times New Roman"/>
          <w:sz w:val="32"/>
        </w:rPr>
        <w:t>卷烟及配套产业作为支柱产业，</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期间，受相关政策和市场影响，卷烟配套企业积极强化技术创新、配方改进、产品研发和市场拓展，实现了向液体包装盒、食品包装膜、农用防伪技术等民用市场的拓展。</w:t>
      </w:r>
      <w:r>
        <w:rPr>
          <w:rFonts w:hint="default" w:ascii="Times New Roman" w:hAnsi="Times New Roman" w:eastAsia="仿宋_GB2312" w:cs="Times New Roman"/>
          <w:b/>
          <w:bCs/>
          <w:sz w:val="32"/>
        </w:rPr>
        <w:t>生物医药持续突破。</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期间，沃森、维和药业、达利食品、猫哆哩等骨干企业进一步发展壮大，龙头企业引领带动作用充分发挥。生物医药领域建设了宫颈癌疫苗产业化、医学体外分子诊断试剂等一批项目，获批</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国家火炬玉溪高新区生物医药特色产业基地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。其中，以疫苗、单抗为代表的生物技术药取得重大突破，沃森</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十年磨一剑</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，13价肺炎疫苗获准上市，年销售收入30-40亿元。</w:t>
      </w:r>
      <w:r>
        <w:rPr>
          <w:rFonts w:hint="default" w:ascii="Times New Roman" w:hAnsi="Times New Roman" w:eastAsia="仿宋_GB2312" w:cs="Times New Roman"/>
          <w:b/>
          <w:bCs/>
          <w:sz w:val="32"/>
        </w:rPr>
        <w:t>先进装备制造产业实力雄厚。</w:t>
      </w:r>
      <w:r>
        <w:rPr>
          <w:rFonts w:hint="default" w:ascii="Times New Roman" w:hAnsi="Times New Roman" w:eastAsia="仿宋_GB2312" w:cs="Times New Roman"/>
          <w:sz w:val="32"/>
        </w:rPr>
        <w:t>依托玉溪市矿产资源优势和铸造产业基础，不断加大招商引资和科技投入力度，形成以数控机床、电气装备、农用器械为核心的先进装备制造业。其中，高标准打造数控机床产业园，集聚正成工精密机械、华溪数控、太标等12家数控机床规上企业，形成年产2万台光机的生产规模，成为全国最大、品种最全的专业化机床光机生产制造基地。</w:t>
      </w:r>
      <w:r>
        <w:rPr>
          <w:rFonts w:hint="default" w:ascii="Times New Roman" w:hAnsi="Times New Roman" w:eastAsia="仿宋_GB2312" w:cs="Times New Roman"/>
          <w:b/>
          <w:bCs/>
          <w:sz w:val="32"/>
        </w:rPr>
        <w:t>现代服务业加速发展。</w:t>
      </w:r>
      <w:r>
        <w:rPr>
          <w:rFonts w:hint="default" w:ascii="Times New Roman" w:hAnsi="Times New Roman" w:eastAsia="仿宋_GB2312" w:cs="Times New Roman"/>
          <w:sz w:val="32"/>
        </w:rPr>
        <w:t>依托得天独厚的区位交通优势，在市委、市政府的大力支持下，滇中（玉溪）粮食物流产业园、玉溪海关等重大项目相继落地，现代物流基础设施加速建设。此外，积极引进京东等平台型企业，开展</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玉溪生鲜节</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、京东（玉溪）特产馆</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双十一</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线上线下销售等活动，电子商务领域打开新局面。</w:t>
      </w:r>
      <w:r>
        <w:rPr>
          <w:rFonts w:hint="default" w:ascii="Times New Roman" w:hAnsi="Times New Roman" w:eastAsia="仿宋_GB2312" w:cs="Times New Roman"/>
          <w:b/>
          <w:bCs/>
          <w:sz w:val="32"/>
        </w:rPr>
        <w:t>新产业新业态培育初步成型。</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期间，围绕</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数字云南</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建设，高标准建成玉溪华为云数据中心和云南联通玉溪数据中心两大数据中心，成功推动京东云（玉溪）新经济产业园落地，数字经济发展初现雏形。围绕</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绿色能源牌</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打造，引进了一批电池薄膜、锂电池材料、动力电池组等新能源新材料产业项目，新动能蓄势待发。</w:t>
      </w:r>
    </w:p>
    <w:p w14:paraId="460475D0">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9" w:name="_Toc67935902"/>
      <w:r>
        <w:rPr>
          <w:rFonts w:hint="default" w:ascii="Times New Roman" w:hAnsi="Times New Roman" w:eastAsia="楷体_GB2312" w:cs="Times New Roman"/>
          <w:bCs w:val="0"/>
          <w:color w:val="000000" w:themeColor="text1"/>
          <w14:textFill>
            <w14:solidFill>
              <w14:schemeClr w14:val="tx1"/>
            </w14:solidFill>
          </w14:textFill>
        </w:rPr>
        <w:t>3.市场主体加速培育，研发创新不断强化</w:t>
      </w:r>
      <w:bookmarkEnd w:id="9"/>
    </w:p>
    <w:p w14:paraId="74F853C6">
      <w:pPr>
        <w:spacing w:line="560"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期间，玉溪高新区加快推进企业主体培育，引导企业强化产学研合作，构建了以企业为主体的技术创新体系。</w:t>
      </w:r>
      <w:r>
        <w:rPr>
          <w:rFonts w:hint="default" w:ascii="Times New Roman" w:hAnsi="Times New Roman" w:eastAsia="仿宋_GB2312" w:cs="Times New Roman"/>
          <w:b/>
          <w:bCs/>
          <w:sz w:val="32"/>
        </w:rPr>
        <w:t>企业梯队建设初见成效。</w:t>
      </w:r>
      <w:r>
        <w:rPr>
          <w:rFonts w:hint="default" w:ascii="Times New Roman" w:hAnsi="Times New Roman" w:eastAsia="仿宋_GB2312" w:cs="Times New Roman"/>
          <w:sz w:val="32"/>
        </w:rPr>
        <w:t>截至2020年底，拥有规上工业企业69家，较2015年实现翻番；培育高新技术企业47家，占全市34.5%；拥有省级以上科技型中小企业140家，是2015年的3.4倍；拥有市级以上成长型中小企业35家。</w:t>
      </w:r>
      <w:r>
        <w:rPr>
          <w:rFonts w:hint="default" w:ascii="Times New Roman" w:hAnsi="Times New Roman" w:eastAsia="仿宋_GB2312" w:cs="Times New Roman"/>
          <w:b/>
          <w:bCs/>
          <w:sz w:val="32"/>
        </w:rPr>
        <w:t>产学研合作持续深化。</w:t>
      </w:r>
      <w:r>
        <w:rPr>
          <w:rFonts w:hint="default" w:ascii="Times New Roman" w:hAnsi="Times New Roman" w:eastAsia="仿宋_GB2312" w:cs="Times New Roman"/>
          <w:sz w:val="32"/>
        </w:rPr>
        <w:t>区内企业已与昆明理工大学、云南大学、</w:t>
      </w:r>
      <w:r>
        <w:rPr>
          <w:rFonts w:hint="eastAsia" w:ascii="Times New Roman" w:hAnsi="Times New Roman" w:eastAsia="仿宋_GB2312" w:cs="Times New Roman"/>
          <w:sz w:val="32"/>
          <w:lang w:eastAsia="zh-CN"/>
        </w:rPr>
        <w:t>中国科学院</w:t>
      </w:r>
      <w:r>
        <w:rPr>
          <w:rFonts w:hint="default" w:ascii="Times New Roman" w:hAnsi="Times New Roman" w:eastAsia="仿宋_GB2312" w:cs="Times New Roman"/>
          <w:sz w:val="32"/>
        </w:rPr>
        <w:t>昆明植物研究所、上海理工大学等高校院所建立长期合作关系，在产品研发、检测、设计等方面开展广泛合作。近五年，组织企业上报国家、省、市各类项目350余项，争取到位扶持资金3.7亿元。</w:t>
      </w:r>
      <w:r>
        <w:rPr>
          <w:rFonts w:hint="default" w:ascii="Times New Roman" w:hAnsi="Times New Roman" w:eastAsia="仿宋_GB2312" w:cs="Times New Roman"/>
          <w:b/>
          <w:bCs/>
          <w:sz w:val="32"/>
        </w:rPr>
        <w:t>企业创新平台加快建设。</w:t>
      </w:r>
      <w:r>
        <w:rPr>
          <w:rFonts w:hint="default" w:ascii="Times New Roman" w:hAnsi="Times New Roman" w:eastAsia="仿宋_GB2312" w:cs="Times New Roman"/>
          <w:bCs/>
          <w:sz w:val="32"/>
        </w:rPr>
        <w:t>鼓励企业</w:t>
      </w:r>
      <w:r>
        <w:rPr>
          <w:rFonts w:hint="default" w:ascii="Times New Roman" w:hAnsi="Times New Roman" w:eastAsia="仿宋_GB2312" w:cs="Times New Roman"/>
          <w:sz w:val="32"/>
        </w:rPr>
        <w:t>加大研发经费投入，支持企业创新平台建设，2020年R&amp;D经费投入预计达到8亿元，同比增长14.3%。拥有市级以上工程技术研究中心17家，市级以上企业技术中心36家，各类院士（专家）工作站7个，其中，省级企业技术中心16家，国家级企业技术中心1家。</w:t>
      </w:r>
    </w:p>
    <w:p w14:paraId="4D2E35AC">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10" w:name="_Toc67935903"/>
      <w:r>
        <w:rPr>
          <w:rFonts w:hint="default" w:ascii="Times New Roman" w:hAnsi="Times New Roman" w:eastAsia="楷体_GB2312" w:cs="Times New Roman"/>
          <w:bCs w:val="0"/>
          <w:color w:val="000000" w:themeColor="text1"/>
          <w14:textFill>
            <w14:solidFill>
              <w14:schemeClr w14:val="tx1"/>
            </w14:solidFill>
          </w14:textFill>
        </w:rPr>
        <w:t>4.双创载体不断完善，科技人才不断汇聚</w:t>
      </w:r>
      <w:bookmarkEnd w:id="10"/>
    </w:p>
    <w:p w14:paraId="4DD69CA8">
      <w:pPr>
        <w:spacing w:line="560"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期间，玉溪高新区积极推进双创平台载体建设，开展多层次人才引进和培养，科技创新资源加速集聚。</w:t>
      </w:r>
      <w:r>
        <w:rPr>
          <w:rFonts w:hint="default" w:ascii="Times New Roman" w:hAnsi="Times New Roman" w:eastAsia="仿宋_GB2312" w:cs="Times New Roman"/>
          <w:b/>
          <w:bCs/>
          <w:sz w:val="32"/>
        </w:rPr>
        <w:t>孵化载体建设加速推进。</w:t>
      </w:r>
      <w:r>
        <w:rPr>
          <w:rFonts w:hint="default" w:ascii="Times New Roman" w:hAnsi="Times New Roman" w:eastAsia="仿宋_GB2312" w:cs="Times New Roman"/>
          <w:sz w:val="32"/>
        </w:rPr>
        <w:t>通过政府引导、市场主导、合作共建方式，建成云科玉溪高新众创空间、玉溪双创中心启迪众创园、青年创业园等孵化载体12个。其中，云科众创空间于2018年成功申报国家级众创空间，云科玉溪高新区科技企业孵化器认定为省级孵化器。玉溪高新区成功实现国家级众创空间</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零的突破</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，玉溪双创中心启迪众创园入选</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2019中国百家特色空间</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。2020年各类载体企业总收入达8.97亿元，累计孵化毕业企业109家，带动4527人就业。</w:t>
      </w:r>
      <w:r>
        <w:rPr>
          <w:rFonts w:hint="default" w:ascii="Times New Roman" w:hAnsi="Times New Roman" w:eastAsia="仿宋_GB2312" w:cs="Times New Roman"/>
          <w:b/>
          <w:bCs/>
          <w:sz w:val="32"/>
        </w:rPr>
        <w:t>高能级服务平台建设取得突破。</w:t>
      </w:r>
      <w:r>
        <w:rPr>
          <w:rFonts w:hint="default" w:ascii="Times New Roman" w:hAnsi="Times New Roman" w:eastAsia="仿宋_GB2312" w:cs="Times New Roman"/>
          <w:sz w:val="32"/>
        </w:rPr>
        <w:t>与同济大学、中国科学院北京国家技术转移中心等开展合作，建设了同济大学玉溪智能制造研究院、中科（玉溪）创新园等高能级服务平台，推动奇安信与玉溪师范学院共建网络安全学院，满足园区企业的智能化、数字化升级和科技成果转移转化需要，进一步优化创新创业服务环境。</w:t>
      </w:r>
      <w:r>
        <w:rPr>
          <w:rFonts w:hint="default" w:ascii="Times New Roman" w:hAnsi="Times New Roman" w:eastAsia="仿宋_GB2312" w:cs="Times New Roman"/>
          <w:b/>
          <w:bCs/>
          <w:sz w:val="32"/>
        </w:rPr>
        <w:t>科技人才队伍不断壮大。</w:t>
      </w:r>
      <w:r>
        <w:rPr>
          <w:rFonts w:hint="default" w:ascii="Times New Roman" w:hAnsi="Times New Roman" w:eastAsia="仿宋_GB2312" w:cs="Times New Roman"/>
          <w:sz w:val="32"/>
        </w:rPr>
        <w:t>积极落实省市人才引进计划，强化高层次人才引进，引进国家级专家7人，享受</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国贴</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专家1人，云南省产业技术领军人才4人，省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百名海外高层次人才</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入选者2人，省科技创新人才3人，兴玉产业领军人才4人，兴玉优秀企业家3人，兴玉信息化及信息产业拔尖人才3人，市委联系专家3人。此外，出台《新时期产业工人队伍建设改革实施方案》，推动奇安信与玉溪师范学院共建网络安全学院、同济大学玉溪智能制造研究院与西门子共同搭建实训基地，强化专业型产业工人队伍培育。</w:t>
      </w:r>
    </w:p>
    <w:p w14:paraId="0DABD6B9">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11" w:name="_Toc67935904"/>
      <w:r>
        <w:rPr>
          <w:rFonts w:hint="default" w:ascii="Times New Roman" w:hAnsi="Times New Roman" w:eastAsia="楷体_GB2312" w:cs="Times New Roman"/>
          <w:bCs w:val="0"/>
          <w:color w:val="000000" w:themeColor="text1"/>
          <w14:textFill>
            <w14:solidFill>
              <w14:schemeClr w14:val="tx1"/>
            </w14:solidFill>
          </w14:textFill>
        </w:rPr>
        <w:t>5.产城融合有序推进，形成</w:t>
      </w:r>
      <w:r>
        <w:rPr>
          <w:rFonts w:hint="eastAsia" w:ascii="Times New Roman" w:hAnsi="Times New Roman" w:eastAsia="楷体_GB2312" w:cs="Times New Roman"/>
          <w:bCs w:val="0"/>
          <w:color w:val="000000" w:themeColor="text1"/>
          <w:lang w:eastAsia="zh-CN"/>
          <w14:textFill>
            <w14:solidFill>
              <w14:schemeClr w14:val="tx1"/>
            </w14:solidFill>
          </w14:textFill>
        </w:rPr>
        <w:t>“</w:t>
      </w:r>
      <w:r>
        <w:rPr>
          <w:rFonts w:hint="default" w:ascii="Times New Roman" w:hAnsi="Times New Roman" w:eastAsia="楷体_GB2312" w:cs="Times New Roman"/>
          <w:bCs w:val="0"/>
          <w:color w:val="000000" w:themeColor="text1"/>
          <w14:textFill>
            <w14:solidFill>
              <w14:schemeClr w14:val="tx1"/>
            </w14:solidFill>
          </w14:textFill>
        </w:rPr>
        <w:t>一区四园</w:t>
      </w:r>
      <w:r>
        <w:rPr>
          <w:rFonts w:hint="eastAsia" w:ascii="Times New Roman" w:hAnsi="Times New Roman" w:eastAsia="楷体_GB2312" w:cs="Times New Roman"/>
          <w:bCs w:val="0"/>
          <w:color w:val="000000" w:themeColor="text1"/>
          <w:lang w:eastAsia="zh-CN"/>
          <w14:textFill>
            <w14:solidFill>
              <w14:schemeClr w14:val="tx1"/>
            </w14:solidFill>
          </w14:textFill>
        </w:rPr>
        <w:t>”</w:t>
      </w:r>
      <w:r>
        <w:rPr>
          <w:rFonts w:hint="default" w:ascii="Times New Roman" w:hAnsi="Times New Roman" w:eastAsia="楷体_GB2312" w:cs="Times New Roman"/>
          <w:bCs w:val="0"/>
          <w:color w:val="000000" w:themeColor="text1"/>
          <w14:textFill>
            <w14:solidFill>
              <w14:schemeClr w14:val="tx1"/>
            </w14:solidFill>
          </w14:textFill>
        </w:rPr>
        <w:t>发展格局</w:t>
      </w:r>
      <w:bookmarkEnd w:id="11"/>
    </w:p>
    <w:p w14:paraId="5DE4D97E">
      <w:pPr>
        <w:spacing w:line="560"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期间，玉溪高新区坚持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产城融合</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发展导向，围绕</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一区四园</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空间格局，不断完善基础设施建设和城市功能配套，产业承载能力显著增强，入选首批</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全国产城融合示范区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试点。</w:t>
      </w:r>
      <w:r>
        <w:rPr>
          <w:rFonts w:hint="default" w:ascii="Times New Roman" w:hAnsi="Times New Roman" w:eastAsia="仿宋_GB2312" w:cs="Times New Roman"/>
          <w:b/>
          <w:bCs/>
          <w:sz w:val="32"/>
        </w:rPr>
        <w:t>南片区</w:t>
      </w:r>
      <w:r>
        <w:rPr>
          <w:rFonts w:hint="default" w:ascii="Times New Roman" w:hAnsi="Times New Roman" w:eastAsia="仿宋_GB2312" w:cs="Times New Roman"/>
          <w:sz w:val="32"/>
        </w:rPr>
        <w:t>积极推进</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闲、小、散、乱</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存量土地向集约高效转换，完成</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退二进三</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转型升级城市更新项目13个，盘活约284亩低效利用土地，生物医药产业园核心区基础设施建设持续推进，谋划打造</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玉溪高新智慧城</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，成为玉溪城市功能重要承载区，完成玉溪师范学院高新附小选址。</w:t>
      </w:r>
      <w:r>
        <w:rPr>
          <w:rFonts w:hint="default" w:ascii="Times New Roman" w:hAnsi="Times New Roman" w:eastAsia="仿宋_GB2312" w:cs="Times New Roman"/>
          <w:b/>
          <w:bCs/>
          <w:sz w:val="32"/>
        </w:rPr>
        <w:t>九龙片区</w:t>
      </w:r>
      <w:r>
        <w:rPr>
          <w:rFonts w:hint="default" w:ascii="Times New Roman" w:hAnsi="Times New Roman" w:eastAsia="仿宋_GB2312" w:cs="Times New Roman"/>
          <w:sz w:val="32"/>
        </w:rPr>
        <w:t>积极布局数字产业基础设施，产业承载能力大幅提升。截至目前，建设完成九龙大数据产业园18.6万平方米标准厂房，建成华为、联通两大数据中心，共计2400个机柜。</w:t>
      </w:r>
      <w:r>
        <w:rPr>
          <w:rFonts w:hint="default" w:ascii="Times New Roman" w:hAnsi="Times New Roman" w:eastAsia="仿宋_GB2312" w:cs="Times New Roman"/>
          <w:b/>
          <w:bCs/>
          <w:sz w:val="32"/>
        </w:rPr>
        <w:t>龙泉片区</w:t>
      </w:r>
      <w:r>
        <w:rPr>
          <w:rFonts w:hint="default" w:ascii="Times New Roman" w:hAnsi="Times New Roman" w:eastAsia="仿宋_GB2312" w:cs="Times New Roman"/>
          <w:sz w:val="32"/>
        </w:rPr>
        <w:t>完成20.7万平方米标准厂房和污水处理厂建设，自来水厂、龙尚路、江义街延长线、电力主干线路等基础设施项目加快建设。</w:t>
      </w:r>
      <w:r>
        <w:rPr>
          <w:rFonts w:hint="default" w:ascii="Times New Roman" w:hAnsi="Times New Roman" w:eastAsia="仿宋_GB2312" w:cs="Times New Roman"/>
          <w:b/>
          <w:bCs/>
          <w:sz w:val="32"/>
        </w:rPr>
        <w:t>研和片区</w:t>
      </w:r>
      <w:r>
        <w:rPr>
          <w:rFonts w:hint="default" w:ascii="Times New Roman" w:hAnsi="Times New Roman" w:eastAsia="仿宋_GB2312" w:cs="Times New Roman"/>
          <w:sz w:val="32"/>
        </w:rPr>
        <w:t>14万平方米标准厂房建成使用，玉溪第二污水处理厂及管网配套设施建设项目投入运营。</w:t>
      </w:r>
    </w:p>
    <w:p w14:paraId="1875EDE7">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12" w:name="_Toc67935905"/>
      <w:r>
        <w:rPr>
          <w:rFonts w:hint="default" w:ascii="Times New Roman" w:hAnsi="Times New Roman" w:eastAsia="楷体_GB2312" w:cs="Times New Roman"/>
          <w:bCs w:val="0"/>
          <w:color w:val="000000" w:themeColor="text1"/>
          <w14:textFill>
            <w14:solidFill>
              <w14:schemeClr w14:val="tx1"/>
            </w14:solidFill>
          </w14:textFill>
        </w:rPr>
        <w:t>6.管理服务持续创新，营商环境日益优化</w:t>
      </w:r>
      <w:bookmarkEnd w:id="12"/>
    </w:p>
    <w:p w14:paraId="14E8DA18">
      <w:pPr>
        <w:spacing w:line="560"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期间，玉溪高新区以实体化改革为核心，推进管理体制机制创新，落实</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放管服</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改革，构建以企业发展、人才培育为核心的政策支撑体系，营商环境日益优化。</w:t>
      </w:r>
      <w:r>
        <w:rPr>
          <w:rFonts w:hint="default" w:ascii="Times New Roman" w:hAnsi="Times New Roman" w:eastAsia="仿宋_GB2312" w:cs="Times New Roman"/>
          <w:b/>
          <w:bCs/>
          <w:sz w:val="32"/>
        </w:rPr>
        <w:t>深入推进实体化改革。</w:t>
      </w:r>
      <w:r>
        <w:rPr>
          <w:rFonts w:hint="default" w:ascii="Times New Roman" w:hAnsi="Times New Roman" w:eastAsia="仿宋_GB2312" w:cs="Times New Roman"/>
          <w:sz w:val="32"/>
        </w:rPr>
        <w:t>先后出台《实体化管理</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三办法一细则</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》《内设机构主要职责规定》《深化直属企业改革实施方案》等文件，以优化内部运行机制为核心，深化</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管委会+公司</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管理模式，实施机构运行大部制、全员聘任制、绩效考核制和岗位绩效考核工资制，激发了广大员工干事创业热情。</w:t>
      </w:r>
      <w:r>
        <w:rPr>
          <w:rFonts w:hint="default" w:ascii="Times New Roman" w:hAnsi="Times New Roman" w:eastAsia="仿宋_GB2312" w:cs="Times New Roman"/>
          <w:b/>
          <w:bCs/>
          <w:sz w:val="32"/>
        </w:rPr>
        <w:t>积极落实</w:t>
      </w:r>
      <w:r>
        <w:rPr>
          <w:rFonts w:hint="eastAsia" w:ascii="Times New Roman" w:hAnsi="Times New Roman" w:eastAsia="仿宋_GB2312" w:cs="Times New Roman"/>
          <w:b/>
          <w:bCs/>
          <w:sz w:val="32"/>
          <w:lang w:eastAsia="zh-CN"/>
        </w:rPr>
        <w:t>“</w:t>
      </w:r>
      <w:r>
        <w:rPr>
          <w:rFonts w:hint="default" w:ascii="Times New Roman" w:hAnsi="Times New Roman" w:eastAsia="仿宋_GB2312" w:cs="Times New Roman"/>
          <w:b/>
          <w:bCs/>
          <w:sz w:val="32"/>
        </w:rPr>
        <w:t>放管服</w:t>
      </w:r>
      <w:r>
        <w:rPr>
          <w:rFonts w:hint="eastAsia" w:ascii="Times New Roman" w:hAnsi="Times New Roman" w:eastAsia="仿宋_GB2312" w:cs="Times New Roman"/>
          <w:b/>
          <w:bCs/>
          <w:sz w:val="32"/>
          <w:lang w:eastAsia="zh-CN"/>
        </w:rPr>
        <w:t>”</w:t>
      </w:r>
      <w:r>
        <w:rPr>
          <w:rFonts w:hint="default" w:ascii="Times New Roman" w:hAnsi="Times New Roman" w:eastAsia="仿宋_GB2312" w:cs="Times New Roman"/>
          <w:b/>
          <w:bCs/>
          <w:sz w:val="32"/>
        </w:rPr>
        <w:t>改革。</w:t>
      </w:r>
      <w:r>
        <w:rPr>
          <w:rFonts w:hint="default" w:ascii="Times New Roman" w:hAnsi="Times New Roman" w:eastAsia="仿宋_GB2312" w:cs="Times New Roman"/>
          <w:sz w:val="32"/>
        </w:rPr>
        <w:t>按照</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一颗印章管审批</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要求，全面清理审批事项，减少审批手续，搭建一站式</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互联网+政务服务</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平台，精简审批事项超过30%，服务事项平均办结时限由16.9天降到8.5天。</w:t>
      </w:r>
      <w:r>
        <w:rPr>
          <w:rFonts w:hint="default" w:ascii="Times New Roman" w:hAnsi="Times New Roman" w:eastAsia="仿宋_GB2312" w:cs="Times New Roman"/>
          <w:b/>
          <w:bCs/>
          <w:sz w:val="32"/>
        </w:rPr>
        <w:t>完善政策支撑体系。</w:t>
      </w:r>
      <w:r>
        <w:rPr>
          <w:rFonts w:hint="default" w:ascii="Times New Roman" w:hAnsi="Times New Roman" w:eastAsia="仿宋_GB2312" w:cs="Times New Roman"/>
          <w:sz w:val="32"/>
        </w:rPr>
        <w:t>围绕企业在科技创新、项目建设、人才引进、贷款融资等方面需求，陆续出台《玉溪高新区加快园区企业发展的意见》《玉溪高新区引进高层次人才暂行办法》《玉溪高新区企业贷款置换资金管理暂行办法》等系列政策，支持企业创新发展，不断优化园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软环境</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w:t>
      </w:r>
    </w:p>
    <w:p w14:paraId="68E14AE2">
      <w:pPr>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仿宋_GB2312" w:cs="Times New Roman"/>
          <w:sz w:val="32"/>
        </w:rPr>
        <w:t>总体来说，</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期间，玉溪高新区在科、产、城、人等多方面齐头并进，经济社会发展成效显著。但与此同时，必须清醒地认识到，与国内先进国家高新区相比，玉溪高新区仍存在一些问题和不足：一是产业结构不合理，卷烟及配套产业占比仍然较高，新兴产业仍处于发展初期，带动力不足，新旧动能转换接续不畅；二是创新创业内生动力不足，缺少国家级创新平台和孵化载体，高成长和高新技术企业</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双高</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企业偏少；三是面向两亚开放合作仍未实质破题，区位交通优势未充分发挥，需加快推进标志性开放合作平台建设；四是部分片区产城融合发展不足，仍亟需加快完善城市配套服务功能，加快新型基础设施建设，构建数字园区；五是制约园区发展的体制机制障碍还未完全消除，需进一步理顺管理体制，深化</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放管服</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改革，加快推动投融资平台转型，优化园区营商环境。</w:t>
      </w:r>
    </w:p>
    <w:p w14:paraId="4AC43DF9">
      <w:pPr>
        <w:pStyle w:val="3"/>
        <w:widowControl/>
        <w:spacing w:before="156" w:beforeLines="50" w:after="156" w:afterLines="50" w:line="520" w:lineRule="exact"/>
        <w:ind w:firstLine="640" w:firstLineChars="200"/>
        <w:rPr>
          <w:rFonts w:hint="default" w:ascii="Times New Roman" w:hAnsi="Times New Roman" w:eastAsia="黑体" w:cs="Times New Roman"/>
          <w:b w:val="0"/>
          <w:color w:val="000000" w:themeColor="text1"/>
          <w14:textFill>
            <w14:solidFill>
              <w14:schemeClr w14:val="tx1"/>
            </w14:solidFill>
          </w14:textFill>
        </w:rPr>
      </w:pPr>
      <w:bookmarkStart w:id="13" w:name="_Toc533003519"/>
      <w:bookmarkStart w:id="14" w:name="_Toc536815580"/>
      <w:bookmarkStart w:id="15" w:name="_Toc67935906"/>
      <w:r>
        <w:rPr>
          <w:rFonts w:hint="default" w:ascii="Times New Roman" w:hAnsi="Times New Roman" w:eastAsia="黑体" w:cs="Times New Roman"/>
          <w:b w:val="0"/>
          <w:color w:val="000000" w:themeColor="text1"/>
          <w14:textFill>
            <w14:solidFill>
              <w14:schemeClr w14:val="tx1"/>
            </w14:solidFill>
          </w14:textFill>
        </w:rPr>
        <w:t>（二）外部</w:t>
      </w:r>
      <w:bookmarkEnd w:id="13"/>
      <w:bookmarkEnd w:id="14"/>
      <w:r>
        <w:rPr>
          <w:rFonts w:hint="default" w:ascii="Times New Roman" w:hAnsi="Times New Roman" w:eastAsia="黑体" w:cs="Times New Roman"/>
          <w:b w:val="0"/>
          <w:color w:val="000000" w:themeColor="text1"/>
          <w14:textFill>
            <w14:solidFill>
              <w14:schemeClr w14:val="tx1"/>
            </w14:solidFill>
          </w14:textFill>
        </w:rPr>
        <w:t>形势</w:t>
      </w:r>
      <w:bookmarkEnd w:id="15"/>
    </w:p>
    <w:p w14:paraId="12073933">
      <w:pPr>
        <w:spacing w:line="560"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时期，</w:t>
      </w:r>
      <w:bookmarkStart w:id="16" w:name="_Hlk44344669"/>
      <w:r>
        <w:rPr>
          <w:rFonts w:hint="default" w:ascii="Times New Roman" w:hAnsi="Times New Roman" w:eastAsia="仿宋_GB2312" w:cs="Times New Roman"/>
          <w:sz w:val="32"/>
        </w:rPr>
        <w:t>世界面临百年未有之大变局</w:t>
      </w:r>
      <w:bookmarkEnd w:id="16"/>
      <w:r>
        <w:rPr>
          <w:rFonts w:hint="default" w:ascii="Times New Roman" w:hAnsi="Times New Roman" w:eastAsia="仿宋_GB2312" w:cs="Times New Roman"/>
          <w:sz w:val="32"/>
        </w:rPr>
        <w:t>，国际国内形势正经历着深刻变革，外部不确定性、不稳定性进一步加大。面临新的历史方位，玉溪高新区的发展面临新要求、新机遇和新挑战。</w:t>
      </w:r>
    </w:p>
    <w:p w14:paraId="51ACBAE8">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rPr>
        <w:t>从机遇来看，一是新经济发展机遇。</w:t>
      </w:r>
      <w:r>
        <w:rPr>
          <w:rFonts w:hint="default" w:ascii="Times New Roman" w:hAnsi="Times New Roman" w:eastAsia="仿宋_GB2312" w:cs="Times New Roman"/>
          <w:sz w:val="32"/>
        </w:rPr>
        <w:t>新一轮科技革命和产业变革加速演进，新经济成为重要增长点，高质量发展成为根本要求，数字经济、智能经济、平台经济等正成为未来经济形态主导，</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场景</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成为新技术和产业生态的聚合器，</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新基建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将赋能产业和消费升级。玉溪高新区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十三五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明确提出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聚焦新经济，培育新动力</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的发展主线，经过五年实践，新经济发展理念已成为共识，新经济发展成效初步显现，将有利于</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进一步延续和深化新经济发展，实现更高质量发展和突破。</w:t>
      </w:r>
      <w:r>
        <w:rPr>
          <w:rFonts w:hint="default" w:ascii="Times New Roman" w:hAnsi="Times New Roman" w:eastAsia="仿宋_GB2312" w:cs="Times New Roman"/>
          <w:b/>
          <w:bCs/>
          <w:sz w:val="32"/>
        </w:rPr>
        <w:t>二是开放发展机遇。</w:t>
      </w:r>
      <w:r>
        <w:rPr>
          <w:rFonts w:hint="default" w:ascii="Times New Roman" w:hAnsi="Times New Roman" w:eastAsia="仿宋_GB2312" w:cs="Times New Roman"/>
          <w:bCs/>
          <w:sz w:val="32"/>
        </w:rPr>
        <w:t>2020年1月，</w:t>
      </w:r>
      <w:r>
        <w:rPr>
          <w:rFonts w:hint="default" w:ascii="Times New Roman" w:hAnsi="Times New Roman" w:eastAsia="仿宋_GB2312" w:cs="Times New Roman"/>
          <w:sz w:val="32"/>
        </w:rPr>
        <w:t>习近平总书记考察云南时强调，</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要主动服务和融入国家重大发展战略，以大开放促进大发展，加快同周边国家互联互通国际大通道建设步伐</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我国正加快构建以国内大循环为主体、国内国际双循环相互促进的新发展格局，云南省深入推进滇中城市群一体化、昆玉同城化建设。玉溪高新区深化对内、对外两个开放，有利于将毗邻两亚的交通优势拓展成为产业发展的通道优势、市场优势和人才集聚交流的优势，有利于支撑玉溪市打造滇中崛起增长极。</w:t>
      </w:r>
      <w:r>
        <w:rPr>
          <w:rFonts w:hint="default" w:ascii="Times New Roman" w:hAnsi="Times New Roman" w:eastAsia="仿宋_GB2312" w:cs="Times New Roman"/>
          <w:b/>
          <w:sz w:val="32"/>
        </w:rPr>
        <w:t>三是东部产业转移机遇。</w:t>
      </w:r>
      <w:r>
        <w:rPr>
          <w:rFonts w:hint="default" w:ascii="Times New Roman" w:hAnsi="Times New Roman" w:eastAsia="仿宋_GB2312" w:cs="Times New Roman"/>
          <w:sz w:val="32"/>
        </w:rPr>
        <w:t>当前，东部地区大力开展</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腾笼换鸟</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珠三角</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长三角</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地区相继出台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机器换人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等政策措施，东部地区产业升级带来产业转移机遇，国务院要求中西部地区积极主动做好承接东部产业转移工作。玉溪高新区作为国家级平台，</w:t>
      </w:r>
      <w:r>
        <w:rPr>
          <w:rFonts w:hint="default" w:ascii="Times New Roman" w:hAnsi="Times New Roman" w:eastAsia="仿宋_GB2312" w:cs="Times New Roman"/>
          <w:bCs/>
          <w:sz w:val="32"/>
        </w:rPr>
        <w:t>承接东部地区产业转移是</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十三五</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发展的成功实践，也将继续成为未来一段时间发展的重要内容。</w:t>
      </w:r>
      <w:r>
        <w:rPr>
          <w:rFonts w:hint="default" w:ascii="Times New Roman" w:hAnsi="Times New Roman" w:eastAsia="仿宋_GB2312" w:cs="Times New Roman"/>
          <w:b/>
          <w:bCs/>
          <w:sz w:val="32"/>
        </w:rPr>
        <w:t>四是整合提升发展机遇。</w:t>
      </w:r>
      <w:r>
        <w:rPr>
          <w:rFonts w:hint="default" w:ascii="Times New Roman" w:hAnsi="Times New Roman" w:eastAsia="仿宋_GB2312" w:cs="Times New Roman"/>
          <w:sz w:val="32"/>
        </w:rPr>
        <w:t>云南省大力推进</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两型三化</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三张牌</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等战略部署，出台《云南省各类开发区优化提升总体方案》，推动各类开发区加快质量变革、效率变革、动力变革；玉溪市加快建设国家创新型城市，着力打造全省数字经济先行区，要求高新区肩负</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五个更加突出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新要求，整合研和、红塔工业园区，承担起全市建设发展主攻手、主力军的角色。市级领导重视及发展空间的拓展有利于玉溪高新区进一步极化发展，突出创新驱动发展示范区和高质量发展先行区的重要使命，为全市实现高质量发展作出引领示范。</w:t>
      </w:r>
    </w:p>
    <w:p w14:paraId="3D38C13E">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rPr>
        <w:t>从挑战来看，一是全球不确定形势带来的挑战。</w:t>
      </w:r>
      <w:r>
        <w:rPr>
          <w:rFonts w:hint="default" w:ascii="Times New Roman" w:hAnsi="Times New Roman" w:eastAsia="仿宋_GB2312" w:cs="Times New Roman"/>
          <w:sz w:val="32"/>
        </w:rPr>
        <w:t>贸易战和技术脱钩趋势加剧，逆全球化抬头，全球产业链、供应链体系将面临重大变革，创新在我国现代化建设中的地位愈发重要；新冠疫情全球化、持续化发展，对全球经济造成重大冲击，经济下行风险加大，企业投资意愿降低，推动生产生活方式变革。对玉溪高新区强化创新驱动，提升自主创新能力，推动产业基础高级化、产业链现代化，加速产业链与创新链深度融合提出了更高要求。</w:t>
      </w:r>
      <w:r>
        <w:rPr>
          <w:rFonts w:hint="default" w:ascii="Times New Roman" w:hAnsi="Times New Roman" w:eastAsia="仿宋_GB2312" w:cs="Times New Roman"/>
          <w:b/>
          <w:bCs/>
          <w:sz w:val="32"/>
        </w:rPr>
        <w:t>二是全面深化改革带来的挑战。</w:t>
      </w:r>
      <w:r>
        <w:rPr>
          <w:rFonts w:hint="default" w:ascii="Times New Roman" w:hAnsi="Times New Roman" w:eastAsia="仿宋_GB2312" w:cs="Times New Roman"/>
          <w:sz w:val="32"/>
        </w:rPr>
        <w:t>全球形势影响及高质量发展要求下，国内经济发展进入深度调整期，经济下行压力加大，</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六稳</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六保</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成为基本要求，传统的基于投资、招商、规模导向的组织方式面临挑战，必须通过全面深化改革，优化区域发展环境，强化发展特色，完善服务生态，培育区域发展新动力、塑造竞争新优势。对玉溪高新区进一步深化体制机制改革，优化营商服务环境，激发市场活力提出更高要求。</w:t>
      </w:r>
    </w:p>
    <w:p w14:paraId="5DA131DB">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综合研判，</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期间，玉溪高新区仍处于大有可为的重要战略机遇期。关键是面对新形势、新要求、新挑战，必须保持发展定力，坚定不移地走创新驱动高质量发展之路，充分利用一切有利条件,突出优势、弥补短板，集中精力抓产业创新、双创升级，大刀阔斧推改革，深入开展国际合作，积极探索适应新形势要求的管理体制和发展方式，加快实现发展质量优化、效率提升和新旧发展动能接续转换，真正建设成为创新驱动发展示范区和高质量发展先行区。</w:t>
      </w:r>
    </w:p>
    <w:p w14:paraId="6CBD9DC0">
      <w:pPr>
        <w:spacing w:line="560" w:lineRule="exact"/>
        <w:ind w:firstLine="640" w:firstLineChars="200"/>
        <w:rPr>
          <w:rFonts w:hint="default" w:ascii="Times New Roman" w:hAnsi="Times New Roman" w:eastAsia="黑体" w:cs="Times New Roman"/>
          <w:sz w:val="32"/>
        </w:rPr>
      </w:pPr>
    </w:p>
    <w:p w14:paraId="726C8A0B">
      <w:pPr>
        <w:pStyle w:val="2"/>
        <w:spacing w:before="0" w:after="0" w:line="560" w:lineRule="exact"/>
        <w:jc w:val="center"/>
        <w:rPr>
          <w:rFonts w:hint="default" w:ascii="Times New Roman" w:hAnsi="Times New Roman" w:eastAsia="黑体" w:cs="Times New Roman"/>
          <w:sz w:val="32"/>
        </w:rPr>
      </w:pPr>
      <w:bookmarkStart w:id="17" w:name="_Toc67935907"/>
      <w:r>
        <w:rPr>
          <w:rFonts w:hint="default" w:ascii="Times New Roman" w:hAnsi="Times New Roman" w:eastAsia="黑体" w:cs="Times New Roman"/>
          <w:sz w:val="32"/>
        </w:rPr>
        <w:t>二、</w:t>
      </w:r>
      <w:r>
        <w:rPr>
          <w:rFonts w:hint="eastAsia" w:ascii="Times New Roman" w:hAnsi="Times New Roman" w:eastAsia="黑体" w:cs="Times New Roman"/>
          <w:sz w:val="32"/>
          <w:lang w:eastAsia="zh-CN"/>
        </w:rPr>
        <w:t>“</w:t>
      </w:r>
      <w:r>
        <w:rPr>
          <w:rFonts w:hint="default" w:ascii="Times New Roman" w:hAnsi="Times New Roman" w:eastAsia="黑体" w:cs="Times New Roman"/>
          <w:sz w:val="32"/>
        </w:rPr>
        <w:t>十四五</w:t>
      </w:r>
      <w:r>
        <w:rPr>
          <w:rFonts w:hint="eastAsia" w:ascii="Times New Roman" w:hAnsi="Times New Roman" w:eastAsia="黑体" w:cs="Times New Roman"/>
          <w:sz w:val="32"/>
          <w:lang w:eastAsia="zh-CN"/>
        </w:rPr>
        <w:t>”</w:t>
      </w:r>
      <w:r>
        <w:rPr>
          <w:rFonts w:hint="default" w:ascii="Times New Roman" w:hAnsi="Times New Roman" w:eastAsia="黑体" w:cs="Times New Roman"/>
          <w:sz w:val="32"/>
        </w:rPr>
        <w:t>总体要求</w:t>
      </w:r>
      <w:bookmarkEnd w:id="17"/>
    </w:p>
    <w:p w14:paraId="5386C8AD">
      <w:pPr>
        <w:pStyle w:val="3"/>
        <w:widowControl/>
        <w:spacing w:before="156" w:beforeLines="50" w:after="156" w:afterLines="50" w:line="52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8" w:name="_Toc67935908"/>
      <w:r>
        <w:rPr>
          <w:rFonts w:hint="default" w:ascii="Times New Roman" w:hAnsi="Times New Roman" w:eastAsia="黑体" w:cs="Times New Roman"/>
          <w:b w:val="0"/>
          <w:bCs w:val="0"/>
          <w:color w:val="000000" w:themeColor="text1"/>
          <w14:textFill>
            <w14:solidFill>
              <w14:schemeClr w14:val="tx1"/>
            </w14:solidFill>
          </w14:textFill>
        </w:rPr>
        <w:t>（一）总体思路</w:t>
      </w:r>
      <w:bookmarkEnd w:id="18"/>
    </w:p>
    <w:p w14:paraId="664719EC">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以习近平新时代中国特色社会主义思想为指导，全面贯彻党的十九大，十九届二中、三中、四中、五中全会和习近平总书记考察云南重要讲话精神，坚持新发展理念，坚持高质量发展，紧紧围绕云南省委、省政府对玉溪市提出的</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三城</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定位，以国家高新区高质量发展意见和云南省开发区优化提升方案为指引，实施</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145</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发展思路，即以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坚定发展新经济，引领创新驱动高质量发展</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为主线，以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创新驱动、数字赋能、开放协同、产城融合</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为路径，重点实施</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培育高质量产业集群、完善高水平双创生态、强化高层次开放协同、建设高标准数字园区、深化高效能改革创新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五大任务，着力将玉溪高新区建设成为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西南开放特色新经济增长极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，为全市打造</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一极两区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贡献</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高新力量</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，为云南省高质量跨越式发展提供有力支撑。</w:t>
      </w:r>
    </w:p>
    <w:p w14:paraId="756BFFFA">
      <w:pPr>
        <w:pStyle w:val="3"/>
        <w:widowControl/>
        <w:spacing w:before="156" w:beforeLines="50" w:after="156" w:afterLines="50" w:line="52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19" w:name="_Toc67935909"/>
      <w:r>
        <w:rPr>
          <w:rFonts w:hint="default" w:ascii="Times New Roman" w:hAnsi="Times New Roman" w:eastAsia="黑体" w:cs="Times New Roman"/>
          <w:b w:val="0"/>
          <w:bCs w:val="0"/>
          <w:color w:val="000000" w:themeColor="text1"/>
          <w14:textFill>
            <w14:solidFill>
              <w14:schemeClr w14:val="tx1"/>
            </w14:solidFill>
          </w14:textFill>
        </w:rPr>
        <w:t>（二）发展路径</w:t>
      </w:r>
      <w:bookmarkEnd w:id="19"/>
    </w:p>
    <w:p w14:paraId="3B17F481">
      <w:pPr>
        <w:spacing w:line="560" w:lineRule="exact"/>
        <w:ind w:firstLine="643" w:firstLineChars="200"/>
        <w:rPr>
          <w:rFonts w:hint="default" w:ascii="Times New Roman" w:hAnsi="Times New Roman" w:eastAsia="仿宋_GB2312" w:cs="Times New Roman"/>
          <w:bCs/>
          <w:sz w:val="32"/>
        </w:rPr>
      </w:pPr>
      <w:r>
        <w:rPr>
          <w:rFonts w:hint="default" w:ascii="Times New Roman" w:hAnsi="Times New Roman" w:eastAsia="仿宋_GB2312" w:cs="Times New Roman"/>
          <w:b/>
          <w:bCs/>
          <w:sz w:val="32"/>
        </w:rPr>
        <w:t>创新驱动：</w:t>
      </w:r>
      <w:r>
        <w:rPr>
          <w:rFonts w:hint="default" w:ascii="Times New Roman" w:hAnsi="Times New Roman" w:eastAsia="仿宋_GB2312" w:cs="Times New Roman"/>
          <w:bCs/>
          <w:sz w:val="32"/>
        </w:rPr>
        <w:t>坚持创新是引领发展的第一动力，建设一批高水平创新平台，汇聚技术、人才、金融等创新要素，聚焦产业链高端环节提升关键核心技术创新能力，以科技创新为核心带动产业创新、组织创新、制度创新等全面创新。</w:t>
      </w:r>
    </w:p>
    <w:p w14:paraId="73BF23DE">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rPr>
        <w:t>数字赋能：</w:t>
      </w:r>
      <w:r>
        <w:rPr>
          <w:rFonts w:hint="default" w:ascii="Times New Roman" w:hAnsi="Times New Roman" w:eastAsia="仿宋_GB2312" w:cs="Times New Roman"/>
          <w:sz w:val="32"/>
        </w:rPr>
        <w:t>抢抓数字经济发展机遇，加快布局新型基础设施，围绕园区生产生活，部署一批应用场景，以数字技术推动生物医药及医疗器械、先进装备制造等产业提质增效和管理服务创新，全力打造产城融合发展的数字化园区。</w:t>
      </w:r>
    </w:p>
    <w:p w14:paraId="27E1EDD3">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rPr>
        <w:t>开放协同：</w:t>
      </w:r>
      <w:r>
        <w:rPr>
          <w:rFonts w:hint="default" w:ascii="Times New Roman" w:hAnsi="Times New Roman" w:eastAsia="仿宋_GB2312" w:cs="Times New Roman"/>
          <w:sz w:val="32"/>
        </w:rPr>
        <w:t>充分发挥玉溪区位优势，谋划部署重大开放合作平台，强化面向两亚的合作，积极链接国内创新和产业发展高地，融入滇中城市群协同发展，主动融入和服务</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双循环</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战略，打造开放发展新格局。</w:t>
      </w:r>
    </w:p>
    <w:p w14:paraId="4D454EF1">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产城融合：</w:t>
      </w:r>
      <w:r>
        <w:rPr>
          <w:rFonts w:hint="default" w:ascii="Times New Roman" w:hAnsi="Times New Roman" w:eastAsia="仿宋_GB2312" w:cs="Times New Roman"/>
          <w:sz w:val="32"/>
        </w:rPr>
        <w:t>坚持生产、生活、生态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三生融合</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，以玉溪高新智慧城建设为抓手，积极推进</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退二进三</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和城市更新，优化绿色发展环境，不断完善城市服务功能，建成宜居宜业、生态和谐、品质高端的科技新城。</w:t>
      </w:r>
    </w:p>
    <w:p w14:paraId="2C7DE20B">
      <w:pPr>
        <w:pStyle w:val="3"/>
        <w:widowControl/>
        <w:spacing w:before="156" w:beforeLines="50" w:after="156" w:afterLines="50" w:line="52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0" w:name="_Toc67935910"/>
      <w:r>
        <w:rPr>
          <w:rFonts w:hint="default" w:ascii="Times New Roman" w:hAnsi="Times New Roman" w:eastAsia="黑体" w:cs="Times New Roman"/>
          <w:b w:val="0"/>
          <w:bCs w:val="0"/>
          <w:color w:val="000000" w:themeColor="text1"/>
          <w14:textFill>
            <w14:solidFill>
              <w14:schemeClr w14:val="tx1"/>
            </w14:solidFill>
          </w14:textFill>
        </w:rPr>
        <w:t>（三）战略定位</w:t>
      </w:r>
      <w:bookmarkEnd w:id="20"/>
    </w:p>
    <w:p w14:paraId="4A08072A">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玉溪高新区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的战略定位是</w:t>
      </w:r>
      <w:r>
        <w:rPr>
          <w:rFonts w:hint="eastAsia" w:ascii="Times New Roman" w:hAnsi="Times New Roman" w:eastAsia="仿宋_GB2312" w:cs="Times New Roman"/>
          <w:b/>
          <w:bCs/>
          <w:sz w:val="32"/>
          <w:lang w:eastAsia="zh-CN"/>
        </w:rPr>
        <w:t>“</w:t>
      </w:r>
      <w:r>
        <w:rPr>
          <w:rFonts w:hint="default" w:ascii="Times New Roman" w:hAnsi="Times New Roman" w:eastAsia="仿宋_GB2312" w:cs="Times New Roman"/>
          <w:b/>
          <w:bCs/>
          <w:sz w:val="32"/>
        </w:rPr>
        <w:t>西南开放特色新经济增长极</w:t>
      </w:r>
      <w:r>
        <w:rPr>
          <w:rFonts w:hint="eastAsia" w:ascii="Times New Roman" w:hAnsi="Times New Roman" w:eastAsia="仿宋_GB2312" w:cs="Times New Roman"/>
          <w:b/>
          <w:bCs/>
          <w:sz w:val="32"/>
          <w:lang w:eastAsia="zh-CN"/>
        </w:rPr>
        <w:t>”</w:t>
      </w:r>
      <w:r>
        <w:rPr>
          <w:rFonts w:hint="default" w:ascii="Times New Roman" w:hAnsi="Times New Roman" w:eastAsia="仿宋_GB2312" w:cs="Times New Roman"/>
          <w:sz w:val="32"/>
        </w:rPr>
        <w:t>，具体内涵是：</w:t>
      </w:r>
    </w:p>
    <w:p w14:paraId="4C4B2DB9">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rPr>
        <w:t>西南特色新兴产业标杆区。</w:t>
      </w:r>
      <w:r>
        <w:rPr>
          <w:rFonts w:hint="default" w:ascii="Times New Roman" w:hAnsi="Times New Roman" w:eastAsia="仿宋_GB2312" w:cs="Times New Roman"/>
          <w:sz w:val="32"/>
        </w:rPr>
        <w:t>依托国家火炬生物医药特色产业基地、研和数控机床产业园、九龙大数据产业园等载体，突出双高企业培育，强化应用场景构建和供给，加快培育壮大新兴产业规模，着力打造西南地区特色新兴产业集聚的新标杆。</w:t>
      </w:r>
    </w:p>
    <w:p w14:paraId="18714033">
      <w:pPr>
        <w:spacing w:line="560" w:lineRule="exact"/>
        <w:ind w:firstLine="643" w:firstLineChars="200"/>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滇中创新驱动发展核心区。</w:t>
      </w:r>
      <w:r>
        <w:rPr>
          <w:rFonts w:hint="default" w:ascii="Times New Roman" w:hAnsi="Times New Roman" w:eastAsia="仿宋_GB2312" w:cs="Times New Roman"/>
          <w:sz w:val="32"/>
        </w:rPr>
        <w:t>突出创新在高新区建设全局中的核心地位，结合国家推动双创升级要求，加快建设一批高水平研发创新平台和创业孵化载体，积极引进培育一批</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玉溪创新合伙人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，进一步强化科技服务支撑能力，营造活力迸发的创新创业环境，让创新成为打造滇中崛起增长极的核心动力。</w:t>
      </w:r>
    </w:p>
    <w:p w14:paraId="7B626892">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rPr>
        <w:t>面向两亚开放合作先行区。</w:t>
      </w:r>
      <w:r>
        <w:rPr>
          <w:rFonts w:hint="default" w:ascii="Times New Roman" w:hAnsi="Times New Roman" w:eastAsia="仿宋_GB2312" w:cs="Times New Roman"/>
          <w:bCs/>
          <w:sz w:val="32"/>
        </w:rPr>
        <w:t>依托泛亚东线、中线铁路、昆曼高速、昆河高速等国际大通道，深度融入</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一带一路</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建设，加快建设开放合作平台载体，推动企业</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走出去</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和</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引进来</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，持续汇聚人才、技术、资本等全球化资源要素，打造成为云南建设面向南亚东南亚辐射中心的重要载体</w:t>
      </w:r>
      <w:r>
        <w:rPr>
          <w:rFonts w:hint="default" w:ascii="Times New Roman" w:hAnsi="Times New Roman" w:eastAsia="仿宋_GB2312" w:cs="Times New Roman"/>
          <w:sz w:val="32"/>
        </w:rPr>
        <w:t>。</w:t>
      </w:r>
    </w:p>
    <w:p w14:paraId="5B02C5C9">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rPr>
        <w:t>云南数字园区建设示范区。</w:t>
      </w:r>
      <w:r>
        <w:rPr>
          <w:rFonts w:hint="default" w:ascii="Times New Roman" w:hAnsi="Times New Roman" w:eastAsia="仿宋_GB2312" w:cs="Times New Roman"/>
          <w:bCs/>
          <w:sz w:val="32"/>
        </w:rPr>
        <w:t>紧抓国家大力发展数字经济机遇，打造全省制造业数字化转型发展示范区，建成全省首个全数字化园区，坚持以人为本、产城融合，将新型基础设施建设和数字技术应用作为提升城市功能品质的重要抓手，打造人性化宜居、人本化宜业、生态和谐、品质高端的科技新城，为数字云南建设做出</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高新示范</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sz w:val="32"/>
        </w:rPr>
        <w:t>。</w:t>
      </w:r>
    </w:p>
    <w:p w14:paraId="3B4322D4">
      <w:pPr>
        <w:pStyle w:val="3"/>
        <w:widowControl/>
        <w:spacing w:before="156" w:beforeLines="50" w:after="156" w:afterLines="50" w:line="520" w:lineRule="exact"/>
        <w:ind w:firstLine="640" w:firstLineChars="200"/>
        <w:rPr>
          <w:rFonts w:hint="default" w:ascii="Times New Roman" w:hAnsi="Times New Roman" w:eastAsia="黑体" w:cs="Times New Roman"/>
          <w:color w:val="000000" w:themeColor="text1"/>
          <w14:textFill>
            <w14:solidFill>
              <w14:schemeClr w14:val="tx1"/>
            </w14:solidFill>
          </w14:textFill>
        </w:rPr>
      </w:pPr>
      <w:bookmarkStart w:id="21" w:name="_Toc67935911"/>
      <w:r>
        <w:rPr>
          <w:rFonts w:hint="default" w:ascii="Times New Roman" w:hAnsi="Times New Roman" w:eastAsia="黑体" w:cs="Times New Roman"/>
          <w:b w:val="0"/>
          <w:bCs w:val="0"/>
          <w:color w:val="000000" w:themeColor="text1"/>
          <w14:textFill>
            <w14:solidFill>
              <w14:schemeClr w14:val="tx1"/>
            </w14:solidFill>
          </w14:textFill>
        </w:rPr>
        <w:t>（四）2035年远景目标</w:t>
      </w:r>
      <w:bookmarkEnd w:id="21"/>
    </w:p>
    <w:p w14:paraId="42706A8B">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展望2035年，高新区高质量发展走在全省前列，争取迈入国家高新区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第一梯队</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培育形成卷烟及配套、先进装备制造等千亿级产业集群，新能源新材料、生物医药及医疗器械等产业集群特色更加鲜明；高新技术企业和高成长企业不断涌现，形成大中小企业融通的生态群落；创新创业走向高能级，创新资源要素富集、双创生态活跃；辐射带动、区域协同和面向两亚开放发展水平全面提升；生产、生活、生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三生融合</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的智能社会逐步呈现；新型治理模式基本形成。</w:t>
      </w:r>
    </w:p>
    <w:p w14:paraId="30CAE02E">
      <w:pPr>
        <w:pStyle w:val="3"/>
        <w:widowControl/>
        <w:spacing w:before="156" w:beforeLines="50" w:after="156" w:afterLines="50" w:line="52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22" w:name="_Toc67935912"/>
      <w:r>
        <w:rPr>
          <w:rFonts w:hint="default" w:ascii="Times New Roman" w:hAnsi="Times New Roman" w:eastAsia="黑体" w:cs="Times New Roman"/>
          <w:b w:val="0"/>
          <w:bCs w:val="0"/>
          <w:color w:val="000000" w:themeColor="text1"/>
          <w14:textFill>
            <w14:solidFill>
              <w14:schemeClr w14:val="tx1"/>
            </w14:solidFill>
          </w14:textFill>
        </w:rPr>
        <w:t>（五）</w:t>
      </w:r>
      <w:r>
        <w:rPr>
          <w:rFonts w:hint="eastAsia" w:ascii="Times New Roman" w:hAnsi="Times New Roman" w:eastAsia="黑体" w:cs="Times New Roman"/>
          <w:b w:val="0"/>
          <w:bCs w:val="0"/>
          <w:color w:val="000000" w:themeColor="text1"/>
          <w:lang w:eastAsia="zh-CN"/>
          <w14:textFill>
            <w14:solidFill>
              <w14:schemeClr w14:val="tx1"/>
            </w14:solidFill>
          </w14:textFill>
        </w:rPr>
        <w:t>“</w:t>
      </w:r>
      <w:r>
        <w:rPr>
          <w:rFonts w:hint="default" w:ascii="Times New Roman" w:hAnsi="Times New Roman" w:eastAsia="黑体" w:cs="Times New Roman"/>
          <w:b w:val="0"/>
          <w:bCs w:val="0"/>
          <w:color w:val="000000" w:themeColor="text1"/>
          <w14:textFill>
            <w14:solidFill>
              <w14:schemeClr w14:val="tx1"/>
            </w14:solidFill>
          </w14:textFill>
        </w:rPr>
        <w:t>十四五</w:t>
      </w:r>
      <w:r>
        <w:rPr>
          <w:rFonts w:hint="eastAsia" w:ascii="Times New Roman" w:hAnsi="Times New Roman" w:eastAsia="黑体" w:cs="Times New Roman"/>
          <w:b w:val="0"/>
          <w:bCs w:val="0"/>
          <w:color w:val="000000" w:themeColor="text1"/>
          <w:lang w:eastAsia="zh-CN"/>
          <w14:textFill>
            <w14:solidFill>
              <w14:schemeClr w14:val="tx1"/>
            </w14:solidFill>
          </w14:textFill>
        </w:rPr>
        <w:t>”</w:t>
      </w:r>
      <w:r>
        <w:rPr>
          <w:rFonts w:hint="default" w:ascii="Times New Roman" w:hAnsi="Times New Roman" w:eastAsia="黑体" w:cs="Times New Roman"/>
          <w:b w:val="0"/>
          <w:bCs w:val="0"/>
          <w:color w:val="000000" w:themeColor="text1"/>
          <w14:textFill>
            <w14:solidFill>
              <w14:schemeClr w14:val="tx1"/>
            </w14:solidFill>
          </w14:textFill>
        </w:rPr>
        <w:t>时期发展目标</w:t>
      </w:r>
      <w:bookmarkEnd w:id="22"/>
    </w:p>
    <w:p w14:paraId="313F05E8">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到2025年，探索形成新的发展动力和路径，实现区域经济、科技、社会、生态良性发展，在国家高新区综合排名力争迈入50强，全面建成国家创新型特色园区，成为西南开放特色新经济的新兴增长极。</w:t>
      </w:r>
    </w:p>
    <w:p w14:paraId="44BD03FD">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rPr>
        <w:t>——经济发展再上新台阶。</w:t>
      </w:r>
      <w:r>
        <w:rPr>
          <w:rFonts w:hint="default" w:ascii="Times New Roman" w:hAnsi="Times New Roman" w:eastAsia="仿宋_GB2312" w:cs="Times New Roman"/>
          <w:sz w:val="32"/>
        </w:rPr>
        <w:t>主要经济指标保持平稳增长，增速继续保持全市前列，对全市经济发展贡献度进一步提升。力争到2025年，地区生产总值（含烟）</w:t>
      </w:r>
      <w:bookmarkStart w:id="23" w:name="_Hlk44406940"/>
      <w:r>
        <w:rPr>
          <w:rFonts w:hint="default" w:ascii="Times New Roman" w:hAnsi="Times New Roman" w:eastAsia="仿宋_GB2312" w:cs="Times New Roman"/>
          <w:sz w:val="32"/>
        </w:rPr>
        <w:t>突破680亿元,</w:t>
      </w:r>
      <w:bookmarkEnd w:id="23"/>
      <w:bookmarkStart w:id="24" w:name="_Hlk44406990"/>
      <w:r>
        <w:rPr>
          <w:rFonts w:hint="default" w:ascii="Times New Roman" w:hAnsi="Times New Roman" w:eastAsia="仿宋_GB2312" w:cs="Times New Roman"/>
          <w:sz w:val="32"/>
        </w:rPr>
        <w:t>占全市比重达到30%</w:t>
      </w:r>
      <w:bookmarkEnd w:id="24"/>
      <w:r>
        <w:rPr>
          <w:rFonts w:hint="default" w:ascii="Times New Roman" w:hAnsi="Times New Roman" w:eastAsia="仿宋_GB2312" w:cs="Times New Roman"/>
          <w:sz w:val="32"/>
        </w:rPr>
        <w:t>以上,主营业务收入突破2200亿元、实现倍增,一般公共预算收入达到7.1亿元。</w:t>
      </w:r>
    </w:p>
    <w:p w14:paraId="1CE9EA46">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rPr>
        <w:t>——产业培育取得新成效。</w:t>
      </w:r>
      <w:r>
        <w:rPr>
          <w:rFonts w:hint="default" w:ascii="Times New Roman" w:hAnsi="Times New Roman" w:eastAsia="仿宋_GB2312" w:cs="Times New Roman"/>
          <w:sz w:val="32"/>
        </w:rPr>
        <w:t>卷烟及配套产业提升发展成效明显，非烟产业规模加速壮大，高新技术企业和高成长企业进一步集聚。力争到2025年，</w:t>
      </w:r>
      <w:bookmarkStart w:id="25" w:name="_Hlk44408863"/>
      <w:r>
        <w:rPr>
          <w:rFonts w:hint="default" w:ascii="Times New Roman" w:hAnsi="Times New Roman" w:eastAsia="仿宋_GB2312" w:cs="Times New Roman"/>
          <w:sz w:val="32"/>
        </w:rPr>
        <w:t>规模以上工业增加值</w:t>
      </w:r>
      <w:bookmarkEnd w:id="25"/>
      <w:r>
        <w:rPr>
          <w:rFonts w:hint="default" w:ascii="Times New Roman" w:hAnsi="Times New Roman" w:eastAsia="仿宋_GB2312" w:cs="Times New Roman"/>
          <w:sz w:val="32"/>
        </w:rPr>
        <w:t>（含烟）达到520亿元，非烟规模以上工业增加值</w:t>
      </w:r>
      <w:bookmarkStart w:id="26" w:name="_Hlk44425881"/>
      <w:r>
        <w:rPr>
          <w:rFonts w:hint="default" w:ascii="Times New Roman" w:hAnsi="Times New Roman" w:eastAsia="仿宋_GB2312" w:cs="Times New Roman"/>
          <w:sz w:val="32"/>
        </w:rPr>
        <w:t>达到150亿元，</w:t>
      </w:r>
      <w:bookmarkEnd w:id="26"/>
      <w:r>
        <w:rPr>
          <w:rFonts w:hint="default" w:ascii="Times New Roman" w:hAnsi="Times New Roman" w:eastAsia="仿宋_GB2312" w:cs="Times New Roman"/>
          <w:sz w:val="32"/>
        </w:rPr>
        <w:t>高新技术企业、高成长企业（瞪羚）分别达到120家、10家。</w:t>
      </w:r>
    </w:p>
    <w:p w14:paraId="25DE1CCC">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rPr>
        <w:t>——双创升级实现新突破。</w:t>
      </w:r>
      <w:r>
        <w:rPr>
          <w:rFonts w:hint="default" w:ascii="Times New Roman" w:hAnsi="Times New Roman" w:eastAsia="仿宋_GB2312" w:cs="Times New Roman"/>
          <w:sz w:val="32"/>
        </w:rPr>
        <w:t>科技投入持续加大，双创平台载体蓬勃发展、提质增效，高水平的科技成果不断涌现，创新创业生态进一步完善。力争到2025年，研究与试验发展经费投入占生产总值比重（含烟）达到2.5%，非烟研究与试验发展经费投入占生产总值比重达到6.5%；国家级研发机构、创新创业服务机构均达到6家；企业每万人从业人员当年发明专利授权达到50件。</w:t>
      </w:r>
    </w:p>
    <w:p w14:paraId="497361F2">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rPr>
        <w:t>——开放协同闯出新路子。</w:t>
      </w:r>
      <w:r>
        <w:rPr>
          <w:rFonts w:hint="default" w:ascii="Times New Roman" w:hAnsi="Times New Roman" w:eastAsia="仿宋_GB2312" w:cs="Times New Roman"/>
          <w:sz w:val="32"/>
        </w:rPr>
        <w:t>便利化开放合作平台基本建成，开放协同发展实现真正破题，开放型经济发展活力不断释放。力争到2025年，外贸进出口总额达到13亿元；高新技术企业出口额占营业收入比例达到3%。</w:t>
      </w:r>
    </w:p>
    <w:p w14:paraId="59217FBF">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rPr>
        <w:t>——生态宜居达到新层次。</w:t>
      </w:r>
      <w:r>
        <w:rPr>
          <w:rFonts w:hint="default" w:ascii="Times New Roman" w:hAnsi="Times New Roman" w:eastAsia="仿宋_GB2312" w:cs="Times New Roman"/>
          <w:sz w:val="32"/>
        </w:rPr>
        <w:t>发展方式进一步转向低能耗、低污染、高效益的轨道，数字基础设施和生活配套设施进一步完善，教育、医疗水平大幅提升，初步建成数字化、绿色化的宜居宜业科技城区。力争到2025年，各级各类医院当量数达到3.3家；单位增加值综合能耗降低至0.06吨标准煤/万元。</w:t>
      </w:r>
    </w:p>
    <w:p w14:paraId="043390D2">
      <w:pPr>
        <w:spacing w:line="560" w:lineRule="exact"/>
        <w:ind w:firstLine="640" w:firstLineChars="200"/>
        <w:rPr>
          <w:rFonts w:hint="default" w:ascii="Times New Roman" w:hAnsi="Times New Roman" w:eastAsia="仿宋_GB2312" w:cs="Times New Roman"/>
          <w:sz w:val="32"/>
        </w:rPr>
        <w:sectPr>
          <w:pgSz w:w="11906" w:h="16838"/>
          <w:pgMar w:top="1440" w:right="1800" w:bottom="1440" w:left="1800" w:header="851" w:footer="992" w:gutter="0"/>
          <w:cols w:space="425" w:num="1"/>
          <w:docGrid w:type="lines" w:linePitch="312" w:charSpace="0"/>
        </w:sectPr>
      </w:pPr>
    </w:p>
    <w:p w14:paraId="6BDB9AC4">
      <w:pPr>
        <w:spacing w:line="560" w:lineRule="exact"/>
        <w:jc w:val="center"/>
        <w:rPr>
          <w:rFonts w:hint="default" w:ascii="Times New Roman" w:hAnsi="Times New Roman" w:eastAsia="仿宋_GB2312" w:cs="Times New Roman"/>
          <w:b/>
          <w:sz w:val="24"/>
          <w:szCs w:val="32"/>
        </w:rPr>
      </w:pPr>
      <w:r>
        <w:rPr>
          <w:rFonts w:hint="default" w:ascii="Times New Roman" w:hAnsi="Times New Roman" w:eastAsia="仿宋_GB2312" w:cs="Times New Roman"/>
          <w:b/>
          <w:sz w:val="24"/>
          <w:szCs w:val="32"/>
        </w:rPr>
        <w:t>表2 玉溪高新区</w:t>
      </w:r>
      <w:r>
        <w:rPr>
          <w:rFonts w:hint="eastAsia" w:ascii="Times New Roman" w:hAnsi="Times New Roman" w:eastAsia="仿宋_GB2312" w:cs="Times New Roman"/>
          <w:b/>
          <w:sz w:val="24"/>
          <w:szCs w:val="32"/>
          <w:lang w:eastAsia="zh-CN"/>
        </w:rPr>
        <w:t>“</w:t>
      </w:r>
      <w:r>
        <w:rPr>
          <w:rFonts w:hint="default" w:ascii="Times New Roman" w:hAnsi="Times New Roman" w:eastAsia="仿宋_GB2312" w:cs="Times New Roman"/>
          <w:b/>
          <w:sz w:val="24"/>
          <w:szCs w:val="32"/>
        </w:rPr>
        <w:t>十四五</w:t>
      </w:r>
      <w:r>
        <w:rPr>
          <w:rFonts w:hint="eastAsia" w:ascii="Times New Roman" w:hAnsi="Times New Roman" w:eastAsia="仿宋_GB2312" w:cs="Times New Roman"/>
          <w:b/>
          <w:sz w:val="24"/>
          <w:szCs w:val="32"/>
          <w:lang w:eastAsia="zh-CN"/>
        </w:rPr>
        <w:t>”</w:t>
      </w:r>
      <w:r>
        <w:rPr>
          <w:rFonts w:hint="default" w:ascii="Times New Roman" w:hAnsi="Times New Roman" w:eastAsia="仿宋_GB2312" w:cs="Times New Roman"/>
          <w:b/>
          <w:sz w:val="24"/>
          <w:szCs w:val="32"/>
        </w:rPr>
        <w:t>发展指标体系</w:t>
      </w:r>
    </w:p>
    <w:tbl>
      <w:tblPr>
        <w:tblStyle w:val="1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4270"/>
        <w:gridCol w:w="992"/>
        <w:gridCol w:w="992"/>
        <w:gridCol w:w="993"/>
        <w:gridCol w:w="992"/>
        <w:gridCol w:w="992"/>
      </w:tblGrid>
      <w:tr w14:paraId="644B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7" w:type="dxa"/>
          </w:tcPr>
          <w:p w14:paraId="572851C1">
            <w:pPr>
              <w:widowControl/>
              <w:snapToGrid w:val="0"/>
              <w:jc w:val="center"/>
              <w:rPr>
                <w:rFonts w:hint="default" w:ascii="Times New Roman" w:hAnsi="Times New Roman" w:eastAsia="仿宋_GB2312" w:cs="Times New Roman"/>
                <w:b/>
                <w:bCs/>
                <w:sz w:val="22"/>
                <w:szCs w:val="30"/>
              </w:rPr>
            </w:pPr>
            <w:r>
              <w:rPr>
                <w:rFonts w:hint="default" w:ascii="Times New Roman" w:hAnsi="Times New Roman" w:eastAsia="仿宋_GB2312" w:cs="Times New Roman"/>
                <w:b/>
                <w:bCs/>
                <w:sz w:val="22"/>
                <w:szCs w:val="30"/>
              </w:rPr>
              <w:t>类别</w:t>
            </w:r>
          </w:p>
        </w:tc>
        <w:tc>
          <w:tcPr>
            <w:tcW w:w="4270" w:type="dxa"/>
          </w:tcPr>
          <w:p w14:paraId="7BACCB67">
            <w:pPr>
              <w:widowControl/>
              <w:snapToGrid w:val="0"/>
              <w:jc w:val="center"/>
              <w:rPr>
                <w:rFonts w:hint="default" w:ascii="Times New Roman" w:hAnsi="Times New Roman" w:eastAsia="仿宋_GB2312" w:cs="Times New Roman"/>
                <w:b/>
                <w:bCs/>
                <w:sz w:val="22"/>
                <w:szCs w:val="30"/>
              </w:rPr>
            </w:pPr>
            <w:r>
              <w:rPr>
                <w:rFonts w:hint="default" w:ascii="Times New Roman" w:hAnsi="Times New Roman" w:eastAsia="仿宋_GB2312" w:cs="Times New Roman"/>
                <w:b/>
                <w:bCs/>
                <w:sz w:val="22"/>
                <w:szCs w:val="30"/>
              </w:rPr>
              <w:t>具体指标</w:t>
            </w:r>
          </w:p>
        </w:tc>
        <w:tc>
          <w:tcPr>
            <w:tcW w:w="992" w:type="dxa"/>
            <w:vAlign w:val="center"/>
          </w:tcPr>
          <w:p w14:paraId="64BFB745">
            <w:pPr>
              <w:widowControl/>
              <w:snapToGrid w:val="0"/>
              <w:jc w:val="center"/>
              <w:rPr>
                <w:rFonts w:hint="default" w:ascii="Times New Roman" w:hAnsi="Times New Roman" w:eastAsia="仿宋_GB2312" w:cs="Times New Roman"/>
                <w:b/>
                <w:bCs/>
                <w:sz w:val="22"/>
                <w:szCs w:val="30"/>
              </w:rPr>
            </w:pPr>
            <w:r>
              <w:rPr>
                <w:rFonts w:hint="default" w:ascii="Times New Roman" w:hAnsi="Times New Roman" w:eastAsia="仿宋_GB2312" w:cs="Times New Roman"/>
                <w:b/>
                <w:bCs/>
                <w:sz w:val="22"/>
                <w:szCs w:val="30"/>
              </w:rPr>
              <w:t>2021年</w:t>
            </w:r>
          </w:p>
        </w:tc>
        <w:tc>
          <w:tcPr>
            <w:tcW w:w="992" w:type="dxa"/>
            <w:vAlign w:val="center"/>
          </w:tcPr>
          <w:p w14:paraId="48CFDDE0">
            <w:pPr>
              <w:widowControl/>
              <w:snapToGrid w:val="0"/>
              <w:jc w:val="center"/>
              <w:rPr>
                <w:rFonts w:hint="default" w:ascii="Times New Roman" w:hAnsi="Times New Roman" w:eastAsia="仿宋_GB2312" w:cs="Times New Roman"/>
                <w:b/>
                <w:bCs/>
                <w:sz w:val="22"/>
                <w:szCs w:val="30"/>
              </w:rPr>
            </w:pPr>
            <w:r>
              <w:rPr>
                <w:rFonts w:hint="default" w:ascii="Times New Roman" w:hAnsi="Times New Roman" w:eastAsia="仿宋_GB2312" w:cs="Times New Roman"/>
                <w:b/>
                <w:bCs/>
                <w:sz w:val="22"/>
                <w:szCs w:val="30"/>
              </w:rPr>
              <w:t>2022年</w:t>
            </w:r>
          </w:p>
        </w:tc>
        <w:tc>
          <w:tcPr>
            <w:tcW w:w="993" w:type="dxa"/>
            <w:vAlign w:val="center"/>
          </w:tcPr>
          <w:p w14:paraId="246E4012">
            <w:pPr>
              <w:widowControl/>
              <w:snapToGrid w:val="0"/>
              <w:jc w:val="center"/>
              <w:rPr>
                <w:rFonts w:hint="default" w:ascii="Times New Roman" w:hAnsi="Times New Roman" w:eastAsia="仿宋_GB2312" w:cs="Times New Roman"/>
                <w:b/>
                <w:bCs/>
                <w:sz w:val="22"/>
                <w:szCs w:val="30"/>
              </w:rPr>
            </w:pPr>
            <w:r>
              <w:rPr>
                <w:rFonts w:hint="default" w:ascii="Times New Roman" w:hAnsi="Times New Roman" w:eastAsia="仿宋_GB2312" w:cs="Times New Roman"/>
                <w:b/>
                <w:bCs/>
                <w:sz w:val="22"/>
                <w:szCs w:val="30"/>
              </w:rPr>
              <w:t>2023年</w:t>
            </w:r>
          </w:p>
        </w:tc>
        <w:tc>
          <w:tcPr>
            <w:tcW w:w="992" w:type="dxa"/>
            <w:vAlign w:val="center"/>
          </w:tcPr>
          <w:p w14:paraId="5A856EBF">
            <w:pPr>
              <w:widowControl/>
              <w:snapToGrid w:val="0"/>
              <w:jc w:val="center"/>
              <w:rPr>
                <w:rFonts w:hint="default" w:ascii="Times New Roman" w:hAnsi="Times New Roman" w:eastAsia="仿宋_GB2312" w:cs="Times New Roman"/>
                <w:b/>
                <w:bCs/>
                <w:sz w:val="22"/>
                <w:szCs w:val="30"/>
              </w:rPr>
            </w:pPr>
            <w:r>
              <w:rPr>
                <w:rFonts w:hint="default" w:ascii="Times New Roman" w:hAnsi="Times New Roman" w:eastAsia="仿宋_GB2312" w:cs="Times New Roman"/>
                <w:b/>
                <w:bCs/>
                <w:sz w:val="22"/>
                <w:szCs w:val="30"/>
              </w:rPr>
              <w:t>2024年</w:t>
            </w:r>
          </w:p>
        </w:tc>
        <w:tc>
          <w:tcPr>
            <w:tcW w:w="992" w:type="dxa"/>
            <w:vAlign w:val="center"/>
          </w:tcPr>
          <w:p w14:paraId="37A1E057">
            <w:pPr>
              <w:widowControl/>
              <w:snapToGrid w:val="0"/>
              <w:jc w:val="center"/>
              <w:rPr>
                <w:rFonts w:hint="default" w:ascii="Times New Roman" w:hAnsi="Times New Roman" w:eastAsia="仿宋_GB2312" w:cs="Times New Roman"/>
                <w:b/>
                <w:bCs/>
                <w:sz w:val="22"/>
                <w:szCs w:val="30"/>
              </w:rPr>
            </w:pPr>
            <w:r>
              <w:rPr>
                <w:rFonts w:hint="default" w:ascii="Times New Roman" w:hAnsi="Times New Roman" w:eastAsia="仿宋_GB2312" w:cs="Times New Roman"/>
                <w:b/>
                <w:bCs/>
                <w:sz w:val="22"/>
                <w:szCs w:val="30"/>
              </w:rPr>
              <w:t>2025年</w:t>
            </w:r>
          </w:p>
        </w:tc>
      </w:tr>
      <w:tr w14:paraId="20D3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restart"/>
            <w:vAlign w:val="center"/>
          </w:tcPr>
          <w:p w14:paraId="007EC811">
            <w:pPr>
              <w:widowControl/>
              <w:snapToGrid w:val="0"/>
              <w:jc w:val="center"/>
              <w:rPr>
                <w:rFonts w:hint="default" w:ascii="Times New Roman" w:hAnsi="Times New Roman" w:eastAsia="仿宋_GB2312" w:cs="Times New Roman"/>
                <w:b/>
                <w:bCs/>
                <w:sz w:val="22"/>
                <w:szCs w:val="30"/>
              </w:rPr>
            </w:pPr>
            <w:r>
              <w:rPr>
                <w:rFonts w:hint="default" w:ascii="Times New Roman" w:hAnsi="Times New Roman" w:eastAsia="仿宋_GB2312" w:cs="Times New Roman"/>
                <w:b/>
                <w:bCs/>
                <w:sz w:val="22"/>
                <w:szCs w:val="30"/>
              </w:rPr>
              <w:t>经济发展</w:t>
            </w:r>
          </w:p>
        </w:tc>
        <w:tc>
          <w:tcPr>
            <w:tcW w:w="4270" w:type="dxa"/>
            <w:vAlign w:val="center"/>
          </w:tcPr>
          <w:p w14:paraId="5AED848E">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地区生产总值（亿元，含烟）</w:t>
            </w:r>
          </w:p>
        </w:tc>
        <w:tc>
          <w:tcPr>
            <w:tcW w:w="992" w:type="dxa"/>
            <w:vAlign w:val="center"/>
          </w:tcPr>
          <w:p w14:paraId="0C350156">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550</w:t>
            </w:r>
          </w:p>
        </w:tc>
        <w:tc>
          <w:tcPr>
            <w:tcW w:w="992" w:type="dxa"/>
            <w:vAlign w:val="center"/>
          </w:tcPr>
          <w:p w14:paraId="526BCCD5">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580</w:t>
            </w:r>
          </w:p>
        </w:tc>
        <w:tc>
          <w:tcPr>
            <w:tcW w:w="993" w:type="dxa"/>
            <w:vAlign w:val="center"/>
          </w:tcPr>
          <w:p w14:paraId="7A69E345">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610</w:t>
            </w:r>
          </w:p>
        </w:tc>
        <w:tc>
          <w:tcPr>
            <w:tcW w:w="992" w:type="dxa"/>
            <w:vAlign w:val="center"/>
          </w:tcPr>
          <w:p w14:paraId="407DE80E">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640</w:t>
            </w:r>
          </w:p>
        </w:tc>
        <w:tc>
          <w:tcPr>
            <w:tcW w:w="992" w:type="dxa"/>
            <w:vAlign w:val="center"/>
          </w:tcPr>
          <w:p w14:paraId="4B92B4D7">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680</w:t>
            </w:r>
          </w:p>
        </w:tc>
      </w:tr>
      <w:tr w14:paraId="1FB4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51029B8E">
            <w:pPr>
              <w:widowControl/>
              <w:jc w:val="left"/>
              <w:rPr>
                <w:rFonts w:hint="default" w:ascii="Times New Roman" w:hAnsi="Times New Roman" w:eastAsia="仿宋_GB2312" w:cs="Times New Roman"/>
                <w:b/>
                <w:bCs/>
                <w:sz w:val="22"/>
                <w:szCs w:val="30"/>
              </w:rPr>
            </w:pPr>
          </w:p>
        </w:tc>
        <w:tc>
          <w:tcPr>
            <w:tcW w:w="4270" w:type="dxa"/>
            <w:vAlign w:val="center"/>
          </w:tcPr>
          <w:p w14:paraId="0BE833CE">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地区生产总值（亿元，非烟）</w:t>
            </w:r>
          </w:p>
        </w:tc>
        <w:tc>
          <w:tcPr>
            <w:tcW w:w="992" w:type="dxa"/>
            <w:vAlign w:val="center"/>
          </w:tcPr>
          <w:p w14:paraId="0494DB4C">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150</w:t>
            </w:r>
          </w:p>
        </w:tc>
        <w:tc>
          <w:tcPr>
            <w:tcW w:w="992" w:type="dxa"/>
            <w:vAlign w:val="center"/>
          </w:tcPr>
          <w:p w14:paraId="745900DA">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170</w:t>
            </w:r>
          </w:p>
        </w:tc>
        <w:tc>
          <w:tcPr>
            <w:tcW w:w="993" w:type="dxa"/>
            <w:vAlign w:val="center"/>
          </w:tcPr>
          <w:p w14:paraId="744A9117">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190</w:t>
            </w:r>
          </w:p>
        </w:tc>
        <w:tc>
          <w:tcPr>
            <w:tcW w:w="992" w:type="dxa"/>
            <w:vAlign w:val="center"/>
          </w:tcPr>
          <w:p w14:paraId="7498B77A">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220</w:t>
            </w:r>
          </w:p>
        </w:tc>
        <w:tc>
          <w:tcPr>
            <w:tcW w:w="992" w:type="dxa"/>
            <w:vAlign w:val="center"/>
          </w:tcPr>
          <w:p w14:paraId="17BC6D05">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240</w:t>
            </w:r>
          </w:p>
        </w:tc>
      </w:tr>
      <w:tr w14:paraId="0C18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5335D932">
            <w:pPr>
              <w:widowControl/>
              <w:jc w:val="left"/>
              <w:rPr>
                <w:rFonts w:hint="default" w:ascii="Times New Roman" w:hAnsi="Times New Roman" w:eastAsia="仿宋_GB2312" w:cs="Times New Roman"/>
                <w:b/>
                <w:bCs/>
                <w:sz w:val="22"/>
                <w:szCs w:val="30"/>
              </w:rPr>
            </w:pPr>
          </w:p>
        </w:tc>
        <w:tc>
          <w:tcPr>
            <w:tcW w:w="4270" w:type="dxa"/>
            <w:vAlign w:val="center"/>
          </w:tcPr>
          <w:p w14:paraId="3585E534">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一般公共预算收入（亿元）</w:t>
            </w:r>
          </w:p>
        </w:tc>
        <w:tc>
          <w:tcPr>
            <w:tcW w:w="992" w:type="dxa"/>
            <w:vAlign w:val="center"/>
          </w:tcPr>
          <w:p w14:paraId="4BFED096">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5.8</w:t>
            </w:r>
          </w:p>
        </w:tc>
        <w:tc>
          <w:tcPr>
            <w:tcW w:w="992" w:type="dxa"/>
            <w:vAlign w:val="center"/>
          </w:tcPr>
          <w:p w14:paraId="48E53F8C">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6.0</w:t>
            </w:r>
          </w:p>
        </w:tc>
        <w:tc>
          <w:tcPr>
            <w:tcW w:w="993" w:type="dxa"/>
            <w:vAlign w:val="center"/>
          </w:tcPr>
          <w:p w14:paraId="07418D9C">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6.5</w:t>
            </w:r>
          </w:p>
        </w:tc>
        <w:tc>
          <w:tcPr>
            <w:tcW w:w="992" w:type="dxa"/>
            <w:vAlign w:val="center"/>
          </w:tcPr>
          <w:p w14:paraId="32B78159">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6.8</w:t>
            </w:r>
          </w:p>
        </w:tc>
        <w:tc>
          <w:tcPr>
            <w:tcW w:w="992" w:type="dxa"/>
            <w:vAlign w:val="center"/>
          </w:tcPr>
          <w:p w14:paraId="0C980DD3">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7.1</w:t>
            </w:r>
          </w:p>
        </w:tc>
      </w:tr>
      <w:tr w14:paraId="604D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72915B0E">
            <w:pPr>
              <w:widowControl/>
              <w:jc w:val="left"/>
              <w:rPr>
                <w:rFonts w:hint="default" w:ascii="Times New Roman" w:hAnsi="Times New Roman" w:eastAsia="仿宋_GB2312" w:cs="Times New Roman"/>
                <w:b/>
                <w:bCs/>
                <w:sz w:val="22"/>
                <w:szCs w:val="30"/>
              </w:rPr>
            </w:pPr>
          </w:p>
        </w:tc>
        <w:tc>
          <w:tcPr>
            <w:tcW w:w="4270" w:type="dxa"/>
            <w:vAlign w:val="center"/>
          </w:tcPr>
          <w:p w14:paraId="2F4233B8">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主营业务收入（亿元）</w:t>
            </w:r>
          </w:p>
        </w:tc>
        <w:tc>
          <w:tcPr>
            <w:tcW w:w="992" w:type="dxa"/>
            <w:vAlign w:val="center"/>
          </w:tcPr>
          <w:p w14:paraId="24B30C0E">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1200</w:t>
            </w:r>
          </w:p>
        </w:tc>
        <w:tc>
          <w:tcPr>
            <w:tcW w:w="992" w:type="dxa"/>
            <w:vAlign w:val="center"/>
          </w:tcPr>
          <w:p w14:paraId="0E63AF40">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1400</w:t>
            </w:r>
          </w:p>
        </w:tc>
        <w:tc>
          <w:tcPr>
            <w:tcW w:w="993" w:type="dxa"/>
            <w:vAlign w:val="center"/>
          </w:tcPr>
          <w:p w14:paraId="3C3AF79E">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1600</w:t>
            </w:r>
          </w:p>
        </w:tc>
        <w:tc>
          <w:tcPr>
            <w:tcW w:w="992" w:type="dxa"/>
            <w:vAlign w:val="center"/>
          </w:tcPr>
          <w:p w14:paraId="3816CFE4">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1900</w:t>
            </w:r>
          </w:p>
        </w:tc>
        <w:tc>
          <w:tcPr>
            <w:tcW w:w="992" w:type="dxa"/>
            <w:vAlign w:val="center"/>
          </w:tcPr>
          <w:p w14:paraId="17A325BD">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2200</w:t>
            </w:r>
          </w:p>
        </w:tc>
      </w:tr>
      <w:tr w14:paraId="681B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74970C7A">
            <w:pPr>
              <w:widowControl/>
              <w:jc w:val="left"/>
              <w:rPr>
                <w:rFonts w:hint="default" w:ascii="Times New Roman" w:hAnsi="Times New Roman" w:eastAsia="仿宋_GB2312" w:cs="Times New Roman"/>
                <w:b/>
                <w:bCs/>
                <w:sz w:val="22"/>
                <w:szCs w:val="30"/>
              </w:rPr>
            </w:pPr>
          </w:p>
        </w:tc>
        <w:tc>
          <w:tcPr>
            <w:tcW w:w="4270" w:type="dxa"/>
            <w:vAlign w:val="center"/>
          </w:tcPr>
          <w:p w14:paraId="00DE7C28">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固定资产投资（亿元）</w:t>
            </w:r>
          </w:p>
        </w:tc>
        <w:tc>
          <w:tcPr>
            <w:tcW w:w="992" w:type="dxa"/>
            <w:vAlign w:val="center"/>
          </w:tcPr>
          <w:p w14:paraId="09475578">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53</w:t>
            </w:r>
          </w:p>
        </w:tc>
        <w:tc>
          <w:tcPr>
            <w:tcW w:w="992" w:type="dxa"/>
            <w:vAlign w:val="center"/>
          </w:tcPr>
          <w:p w14:paraId="43969DD7">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59</w:t>
            </w:r>
          </w:p>
        </w:tc>
        <w:tc>
          <w:tcPr>
            <w:tcW w:w="993" w:type="dxa"/>
            <w:vAlign w:val="center"/>
          </w:tcPr>
          <w:p w14:paraId="6A79AC8E">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65</w:t>
            </w:r>
          </w:p>
        </w:tc>
        <w:tc>
          <w:tcPr>
            <w:tcW w:w="992" w:type="dxa"/>
            <w:vAlign w:val="center"/>
          </w:tcPr>
          <w:p w14:paraId="59D83DC9">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72</w:t>
            </w:r>
          </w:p>
        </w:tc>
        <w:tc>
          <w:tcPr>
            <w:tcW w:w="992" w:type="dxa"/>
            <w:vAlign w:val="center"/>
          </w:tcPr>
          <w:p w14:paraId="4ECB0402">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80</w:t>
            </w:r>
          </w:p>
        </w:tc>
      </w:tr>
      <w:tr w14:paraId="00FA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1945970E">
            <w:pPr>
              <w:widowControl/>
              <w:jc w:val="left"/>
              <w:rPr>
                <w:rFonts w:hint="default" w:ascii="Times New Roman" w:hAnsi="Times New Roman" w:eastAsia="仿宋_GB2312" w:cs="Times New Roman"/>
                <w:b/>
                <w:bCs/>
                <w:sz w:val="22"/>
                <w:szCs w:val="30"/>
              </w:rPr>
            </w:pPr>
          </w:p>
        </w:tc>
        <w:tc>
          <w:tcPr>
            <w:tcW w:w="4270" w:type="dxa"/>
            <w:vAlign w:val="center"/>
          </w:tcPr>
          <w:p w14:paraId="65126BF9">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招商引资到位资金（亿元）</w:t>
            </w:r>
          </w:p>
        </w:tc>
        <w:tc>
          <w:tcPr>
            <w:tcW w:w="992" w:type="dxa"/>
            <w:vAlign w:val="center"/>
          </w:tcPr>
          <w:p w14:paraId="5FAA3348">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220</w:t>
            </w:r>
          </w:p>
        </w:tc>
        <w:tc>
          <w:tcPr>
            <w:tcW w:w="992" w:type="dxa"/>
            <w:vAlign w:val="center"/>
          </w:tcPr>
          <w:p w14:paraId="7C22E5CD">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245</w:t>
            </w:r>
          </w:p>
        </w:tc>
        <w:tc>
          <w:tcPr>
            <w:tcW w:w="993" w:type="dxa"/>
            <w:vAlign w:val="center"/>
          </w:tcPr>
          <w:p w14:paraId="750F8234">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270</w:t>
            </w:r>
          </w:p>
        </w:tc>
        <w:tc>
          <w:tcPr>
            <w:tcW w:w="992" w:type="dxa"/>
            <w:vAlign w:val="center"/>
          </w:tcPr>
          <w:p w14:paraId="219C2F03">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300</w:t>
            </w:r>
          </w:p>
        </w:tc>
        <w:tc>
          <w:tcPr>
            <w:tcW w:w="992" w:type="dxa"/>
            <w:vAlign w:val="center"/>
          </w:tcPr>
          <w:p w14:paraId="4092B195">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330</w:t>
            </w:r>
          </w:p>
        </w:tc>
      </w:tr>
      <w:tr w14:paraId="0D84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restart"/>
            <w:vAlign w:val="center"/>
          </w:tcPr>
          <w:p w14:paraId="1F925B9B">
            <w:pPr>
              <w:snapToGrid w:val="0"/>
              <w:jc w:val="center"/>
              <w:rPr>
                <w:rFonts w:hint="default" w:ascii="Times New Roman" w:hAnsi="Times New Roman" w:eastAsia="仿宋_GB2312" w:cs="Times New Roman"/>
                <w:b/>
                <w:bCs/>
                <w:sz w:val="22"/>
                <w:szCs w:val="30"/>
              </w:rPr>
            </w:pPr>
            <w:r>
              <w:rPr>
                <w:rFonts w:hint="default" w:ascii="Times New Roman" w:hAnsi="Times New Roman" w:eastAsia="仿宋_GB2312" w:cs="Times New Roman"/>
                <w:b/>
                <w:bCs/>
                <w:sz w:val="22"/>
                <w:szCs w:val="30"/>
              </w:rPr>
              <w:t>产业培育</w:t>
            </w:r>
          </w:p>
        </w:tc>
        <w:tc>
          <w:tcPr>
            <w:tcW w:w="4270" w:type="dxa"/>
            <w:vAlign w:val="center"/>
          </w:tcPr>
          <w:p w14:paraId="0ABCC232">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工业总产值（亿元，含烟）</w:t>
            </w:r>
          </w:p>
        </w:tc>
        <w:tc>
          <w:tcPr>
            <w:tcW w:w="992" w:type="dxa"/>
            <w:vAlign w:val="center"/>
          </w:tcPr>
          <w:p w14:paraId="3BD5E704">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sz w:val="22"/>
              </w:rPr>
              <w:t>800</w:t>
            </w:r>
          </w:p>
        </w:tc>
        <w:tc>
          <w:tcPr>
            <w:tcW w:w="992" w:type="dxa"/>
            <w:vAlign w:val="center"/>
          </w:tcPr>
          <w:p w14:paraId="66782B83">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sz w:val="22"/>
              </w:rPr>
              <w:t>920</w:t>
            </w:r>
          </w:p>
        </w:tc>
        <w:tc>
          <w:tcPr>
            <w:tcW w:w="993" w:type="dxa"/>
            <w:vAlign w:val="center"/>
          </w:tcPr>
          <w:p w14:paraId="7BDCCEC5">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sz w:val="22"/>
              </w:rPr>
              <w:t>1000</w:t>
            </w:r>
          </w:p>
        </w:tc>
        <w:tc>
          <w:tcPr>
            <w:tcW w:w="992" w:type="dxa"/>
            <w:vAlign w:val="center"/>
          </w:tcPr>
          <w:p w14:paraId="0310BF82">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sz w:val="22"/>
              </w:rPr>
              <w:t>1200</w:t>
            </w:r>
          </w:p>
        </w:tc>
        <w:tc>
          <w:tcPr>
            <w:tcW w:w="992" w:type="dxa"/>
            <w:vAlign w:val="center"/>
          </w:tcPr>
          <w:p w14:paraId="22C1552D">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sz w:val="22"/>
              </w:rPr>
              <w:t>1400</w:t>
            </w:r>
          </w:p>
        </w:tc>
      </w:tr>
      <w:tr w14:paraId="18A5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6DD9A2B5">
            <w:pPr>
              <w:snapToGrid w:val="0"/>
              <w:jc w:val="center"/>
              <w:rPr>
                <w:rFonts w:hint="default" w:ascii="Times New Roman" w:hAnsi="Times New Roman" w:eastAsia="仿宋_GB2312" w:cs="Times New Roman"/>
                <w:b/>
                <w:bCs/>
                <w:sz w:val="22"/>
                <w:szCs w:val="30"/>
              </w:rPr>
            </w:pPr>
          </w:p>
        </w:tc>
        <w:tc>
          <w:tcPr>
            <w:tcW w:w="4270" w:type="dxa"/>
            <w:vAlign w:val="center"/>
          </w:tcPr>
          <w:p w14:paraId="4AA6DD72">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工业总产值（亿元，非烟）</w:t>
            </w:r>
          </w:p>
        </w:tc>
        <w:tc>
          <w:tcPr>
            <w:tcW w:w="992" w:type="dxa"/>
            <w:vAlign w:val="center"/>
          </w:tcPr>
          <w:p w14:paraId="19006B6B">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sz w:val="22"/>
              </w:rPr>
              <w:t>220</w:t>
            </w:r>
          </w:p>
        </w:tc>
        <w:tc>
          <w:tcPr>
            <w:tcW w:w="992" w:type="dxa"/>
            <w:vAlign w:val="center"/>
          </w:tcPr>
          <w:p w14:paraId="495F1A55">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sz w:val="22"/>
              </w:rPr>
              <w:t>280</w:t>
            </w:r>
          </w:p>
        </w:tc>
        <w:tc>
          <w:tcPr>
            <w:tcW w:w="993" w:type="dxa"/>
            <w:vAlign w:val="center"/>
          </w:tcPr>
          <w:p w14:paraId="29ED0350">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sz w:val="22"/>
              </w:rPr>
              <w:t>340</w:t>
            </w:r>
          </w:p>
        </w:tc>
        <w:tc>
          <w:tcPr>
            <w:tcW w:w="992" w:type="dxa"/>
            <w:vAlign w:val="center"/>
          </w:tcPr>
          <w:p w14:paraId="227AB311">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sz w:val="22"/>
              </w:rPr>
              <w:t>400</w:t>
            </w:r>
          </w:p>
        </w:tc>
        <w:tc>
          <w:tcPr>
            <w:tcW w:w="992" w:type="dxa"/>
            <w:vAlign w:val="center"/>
          </w:tcPr>
          <w:p w14:paraId="5F388BD0">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sz w:val="22"/>
              </w:rPr>
              <w:t>490</w:t>
            </w:r>
          </w:p>
        </w:tc>
      </w:tr>
      <w:tr w14:paraId="06FD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3D870CB2">
            <w:pPr>
              <w:widowControl/>
              <w:snapToGrid w:val="0"/>
              <w:jc w:val="center"/>
              <w:rPr>
                <w:rFonts w:hint="default" w:ascii="Times New Roman" w:hAnsi="Times New Roman" w:eastAsia="仿宋_GB2312" w:cs="Times New Roman"/>
                <w:b/>
                <w:bCs/>
                <w:sz w:val="22"/>
                <w:szCs w:val="30"/>
              </w:rPr>
            </w:pPr>
          </w:p>
        </w:tc>
        <w:tc>
          <w:tcPr>
            <w:tcW w:w="4270" w:type="dxa"/>
            <w:vAlign w:val="center"/>
          </w:tcPr>
          <w:p w14:paraId="426071DF">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规模以上工业增加值（亿元，含烟）</w:t>
            </w:r>
          </w:p>
        </w:tc>
        <w:tc>
          <w:tcPr>
            <w:tcW w:w="992" w:type="dxa"/>
            <w:vAlign w:val="center"/>
          </w:tcPr>
          <w:p w14:paraId="6B3BE2DC">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440</w:t>
            </w:r>
          </w:p>
        </w:tc>
        <w:tc>
          <w:tcPr>
            <w:tcW w:w="992" w:type="dxa"/>
            <w:vAlign w:val="center"/>
          </w:tcPr>
          <w:p w14:paraId="0A2795EF">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460</w:t>
            </w:r>
          </w:p>
        </w:tc>
        <w:tc>
          <w:tcPr>
            <w:tcW w:w="993" w:type="dxa"/>
            <w:vAlign w:val="center"/>
          </w:tcPr>
          <w:p w14:paraId="7E92551A">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480</w:t>
            </w:r>
          </w:p>
        </w:tc>
        <w:tc>
          <w:tcPr>
            <w:tcW w:w="992" w:type="dxa"/>
            <w:vAlign w:val="center"/>
          </w:tcPr>
          <w:p w14:paraId="3B09644A">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500</w:t>
            </w:r>
          </w:p>
        </w:tc>
        <w:tc>
          <w:tcPr>
            <w:tcW w:w="992" w:type="dxa"/>
            <w:vAlign w:val="center"/>
          </w:tcPr>
          <w:p w14:paraId="6782636B">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520</w:t>
            </w:r>
          </w:p>
        </w:tc>
      </w:tr>
      <w:tr w14:paraId="5DF6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2B77A4BF">
            <w:pPr>
              <w:widowControl/>
              <w:jc w:val="left"/>
              <w:rPr>
                <w:rFonts w:hint="default" w:ascii="Times New Roman" w:hAnsi="Times New Roman" w:eastAsia="仿宋_GB2312" w:cs="Times New Roman"/>
                <w:b/>
                <w:bCs/>
                <w:sz w:val="22"/>
                <w:szCs w:val="30"/>
              </w:rPr>
            </w:pPr>
          </w:p>
        </w:tc>
        <w:tc>
          <w:tcPr>
            <w:tcW w:w="4270" w:type="dxa"/>
            <w:vAlign w:val="center"/>
          </w:tcPr>
          <w:p w14:paraId="2D7F90D2">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规模以上工业增加值（亿元，非烟）</w:t>
            </w:r>
          </w:p>
        </w:tc>
        <w:tc>
          <w:tcPr>
            <w:tcW w:w="992" w:type="dxa"/>
            <w:vAlign w:val="center"/>
          </w:tcPr>
          <w:p w14:paraId="6F36CA24">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78</w:t>
            </w:r>
          </w:p>
        </w:tc>
        <w:tc>
          <w:tcPr>
            <w:tcW w:w="992" w:type="dxa"/>
            <w:vAlign w:val="center"/>
          </w:tcPr>
          <w:p w14:paraId="238BC351">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93</w:t>
            </w:r>
          </w:p>
        </w:tc>
        <w:tc>
          <w:tcPr>
            <w:tcW w:w="993" w:type="dxa"/>
            <w:vAlign w:val="center"/>
          </w:tcPr>
          <w:p w14:paraId="22199F5A">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110</w:t>
            </w:r>
          </w:p>
        </w:tc>
        <w:tc>
          <w:tcPr>
            <w:tcW w:w="992" w:type="dxa"/>
            <w:vAlign w:val="center"/>
          </w:tcPr>
          <w:p w14:paraId="27824608">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127</w:t>
            </w:r>
          </w:p>
        </w:tc>
        <w:tc>
          <w:tcPr>
            <w:tcW w:w="992" w:type="dxa"/>
            <w:vAlign w:val="center"/>
          </w:tcPr>
          <w:p w14:paraId="6345B2F2">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150</w:t>
            </w:r>
          </w:p>
        </w:tc>
      </w:tr>
      <w:tr w14:paraId="2AB5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22988AD6">
            <w:pPr>
              <w:widowControl/>
              <w:jc w:val="left"/>
              <w:rPr>
                <w:rFonts w:hint="default" w:ascii="Times New Roman" w:hAnsi="Times New Roman" w:eastAsia="仿宋_GB2312" w:cs="Times New Roman"/>
                <w:b/>
                <w:bCs/>
                <w:sz w:val="22"/>
                <w:szCs w:val="30"/>
              </w:rPr>
            </w:pPr>
          </w:p>
        </w:tc>
        <w:tc>
          <w:tcPr>
            <w:tcW w:w="4270" w:type="dxa"/>
            <w:vAlign w:val="center"/>
          </w:tcPr>
          <w:p w14:paraId="3DE0218A">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当年净增高新技术企业数（家）</w:t>
            </w:r>
          </w:p>
        </w:tc>
        <w:tc>
          <w:tcPr>
            <w:tcW w:w="992" w:type="dxa"/>
            <w:vAlign w:val="center"/>
          </w:tcPr>
          <w:p w14:paraId="46431D22">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10</w:t>
            </w:r>
          </w:p>
        </w:tc>
        <w:tc>
          <w:tcPr>
            <w:tcW w:w="992" w:type="dxa"/>
            <w:vAlign w:val="center"/>
          </w:tcPr>
          <w:p w14:paraId="4D8E0CBF">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15</w:t>
            </w:r>
          </w:p>
        </w:tc>
        <w:tc>
          <w:tcPr>
            <w:tcW w:w="993" w:type="dxa"/>
            <w:vAlign w:val="center"/>
          </w:tcPr>
          <w:p w14:paraId="75899A49">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15</w:t>
            </w:r>
          </w:p>
        </w:tc>
        <w:tc>
          <w:tcPr>
            <w:tcW w:w="992" w:type="dxa"/>
            <w:vAlign w:val="center"/>
          </w:tcPr>
          <w:p w14:paraId="7B87F104">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15</w:t>
            </w:r>
          </w:p>
        </w:tc>
        <w:tc>
          <w:tcPr>
            <w:tcW w:w="992" w:type="dxa"/>
            <w:vAlign w:val="center"/>
          </w:tcPr>
          <w:p w14:paraId="4B705DD4">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20</w:t>
            </w:r>
          </w:p>
        </w:tc>
      </w:tr>
      <w:tr w14:paraId="7639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6587A3E0">
            <w:pPr>
              <w:widowControl/>
              <w:jc w:val="left"/>
              <w:rPr>
                <w:rFonts w:hint="default" w:ascii="Times New Roman" w:hAnsi="Times New Roman" w:eastAsia="仿宋_GB2312" w:cs="Times New Roman"/>
                <w:b/>
                <w:bCs/>
                <w:sz w:val="22"/>
                <w:szCs w:val="30"/>
              </w:rPr>
            </w:pPr>
          </w:p>
        </w:tc>
        <w:tc>
          <w:tcPr>
            <w:tcW w:w="4270" w:type="dxa"/>
            <w:vAlign w:val="center"/>
          </w:tcPr>
          <w:p w14:paraId="1B401211">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当年新增的高成长（瞪羚企业）企业数（家）</w:t>
            </w:r>
          </w:p>
        </w:tc>
        <w:tc>
          <w:tcPr>
            <w:tcW w:w="992" w:type="dxa"/>
            <w:vAlign w:val="center"/>
          </w:tcPr>
          <w:p w14:paraId="0EFBD23C">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w:t>
            </w:r>
          </w:p>
        </w:tc>
        <w:tc>
          <w:tcPr>
            <w:tcW w:w="992" w:type="dxa"/>
            <w:vAlign w:val="center"/>
          </w:tcPr>
          <w:p w14:paraId="4501F93A">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w:t>
            </w:r>
          </w:p>
        </w:tc>
        <w:tc>
          <w:tcPr>
            <w:tcW w:w="993" w:type="dxa"/>
            <w:vAlign w:val="center"/>
          </w:tcPr>
          <w:p w14:paraId="104C2ED0">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w:t>
            </w:r>
          </w:p>
        </w:tc>
        <w:tc>
          <w:tcPr>
            <w:tcW w:w="992" w:type="dxa"/>
            <w:vAlign w:val="center"/>
          </w:tcPr>
          <w:p w14:paraId="266A5130">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w:t>
            </w:r>
          </w:p>
        </w:tc>
        <w:tc>
          <w:tcPr>
            <w:tcW w:w="992" w:type="dxa"/>
            <w:vAlign w:val="center"/>
          </w:tcPr>
          <w:p w14:paraId="41F6242E">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w:t>
            </w:r>
          </w:p>
        </w:tc>
      </w:tr>
      <w:tr w14:paraId="266D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1F2AC910">
            <w:pPr>
              <w:widowControl/>
              <w:jc w:val="left"/>
              <w:rPr>
                <w:rFonts w:hint="default" w:ascii="Times New Roman" w:hAnsi="Times New Roman" w:eastAsia="仿宋_GB2312" w:cs="Times New Roman"/>
                <w:b/>
                <w:bCs/>
                <w:sz w:val="22"/>
                <w:szCs w:val="30"/>
              </w:rPr>
            </w:pPr>
          </w:p>
        </w:tc>
        <w:tc>
          <w:tcPr>
            <w:tcW w:w="4270" w:type="dxa"/>
            <w:vAlign w:val="center"/>
          </w:tcPr>
          <w:p w14:paraId="5961656E">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境内外上市（挂牌）企业数（家）</w:t>
            </w:r>
          </w:p>
        </w:tc>
        <w:tc>
          <w:tcPr>
            <w:tcW w:w="992" w:type="dxa"/>
            <w:vAlign w:val="center"/>
          </w:tcPr>
          <w:p w14:paraId="531C2767">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5</w:t>
            </w:r>
          </w:p>
        </w:tc>
        <w:tc>
          <w:tcPr>
            <w:tcW w:w="992" w:type="dxa"/>
            <w:vAlign w:val="center"/>
          </w:tcPr>
          <w:p w14:paraId="3586A4E2">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w:t>
            </w:r>
          </w:p>
        </w:tc>
        <w:tc>
          <w:tcPr>
            <w:tcW w:w="993" w:type="dxa"/>
            <w:vAlign w:val="center"/>
          </w:tcPr>
          <w:p w14:paraId="45D37643">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7</w:t>
            </w:r>
          </w:p>
        </w:tc>
        <w:tc>
          <w:tcPr>
            <w:tcW w:w="992" w:type="dxa"/>
            <w:vAlign w:val="center"/>
          </w:tcPr>
          <w:p w14:paraId="2A12897C">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8</w:t>
            </w:r>
          </w:p>
        </w:tc>
        <w:tc>
          <w:tcPr>
            <w:tcW w:w="992" w:type="dxa"/>
            <w:vAlign w:val="center"/>
          </w:tcPr>
          <w:p w14:paraId="43702DEC">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10</w:t>
            </w:r>
          </w:p>
        </w:tc>
      </w:tr>
      <w:tr w14:paraId="356D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restart"/>
            <w:vAlign w:val="center"/>
          </w:tcPr>
          <w:p w14:paraId="4A3CC528">
            <w:pPr>
              <w:widowControl/>
              <w:snapToGrid w:val="0"/>
              <w:jc w:val="center"/>
              <w:rPr>
                <w:rFonts w:hint="default" w:ascii="Times New Roman" w:hAnsi="Times New Roman" w:eastAsia="仿宋_GB2312" w:cs="Times New Roman"/>
                <w:b/>
                <w:bCs/>
                <w:sz w:val="22"/>
                <w:szCs w:val="30"/>
              </w:rPr>
            </w:pPr>
            <w:r>
              <w:rPr>
                <w:rFonts w:hint="default" w:ascii="Times New Roman" w:hAnsi="Times New Roman" w:eastAsia="仿宋_GB2312" w:cs="Times New Roman"/>
                <w:b/>
                <w:bCs/>
                <w:sz w:val="22"/>
                <w:szCs w:val="30"/>
              </w:rPr>
              <w:t>双创升级</w:t>
            </w:r>
          </w:p>
        </w:tc>
        <w:tc>
          <w:tcPr>
            <w:tcW w:w="4270" w:type="dxa"/>
            <w:vAlign w:val="center"/>
          </w:tcPr>
          <w:p w14:paraId="3B1CF21B">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研究与试验发展（R&amp;D）经费投入占生产总值比重（%，含烟）</w:t>
            </w:r>
          </w:p>
        </w:tc>
        <w:tc>
          <w:tcPr>
            <w:tcW w:w="992" w:type="dxa"/>
            <w:vAlign w:val="center"/>
          </w:tcPr>
          <w:p w14:paraId="28DA8542">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1.6</w:t>
            </w:r>
          </w:p>
        </w:tc>
        <w:tc>
          <w:tcPr>
            <w:tcW w:w="992" w:type="dxa"/>
            <w:vAlign w:val="center"/>
          </w:tcPr>
          <w:p w14:paraId="55694630">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1.8</w:t>
            </w:r>
          </w:p>
        </w:tc>
        <w:tc>
          <w:tcPr>
            <w:tcW w:w="993" w:type="dxa"/>
            <w:vAlign w:val="center"/>
          </w:tcPr>
          <w:p w14:paraId="0119AC96">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w:t>
            </w:r>
          </w:p>
        </w:tc>
        <w:tc>
          <w:tcPr>
            <w:tcW w:w="992" w:type="dxa"/>
            <w:vAlign w:val="center"/>
          </w:tcPr>
          <w:p w14:paraId="2DCEB0A1">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2.3</w:t>
            </w:r>
          </w:p>
        </w:tc>
        <w:tc>
          <w:tcPr>
            <w:tcW w:w="992" w:type="dxa"/>
            <w:vAlign w:val="center"/>
          </w:tcPr>
          <w:p w14:paraId="28DD49A1">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2.5</w:t>
            </w:r>
          </w:p>
        </w:tc>
      </w:tr>
      <w:tr w14:paraId="5B0C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27494CF2">
            <w:pPr>
              <w:widowControl/>
              <w:snapToGrid w:val="0"/>
              <w:jc w:val="center"/>
              <w:rPr>
                <w:rFonts w:hint="default" w:ascii="Times New Roman" w:hAnsi="Times New Roman" w:eastAsia="仿宋_GB2312" w:cs="Times New Roman"/>
                <w:b/>
                <w:bCs/>
                <w:sz w:val="22"/>
                <w:szCs w:val="30"/>
              </w:rPr>
            </w:pPr>
          </w:p>
        </w:tc>
        <w:tc>
          <w:tcPr>
            <w:tcW w:w="4270" w:type="dxa"/>
            <w:vAlign w:val="center"/>
          </w:tcPr>
          <w:p w14:paraId="241383F8">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研究与试验发展（R&amp;D）经费投入占生产总值比重（%，非烟）</w:t>
            </w:r>
          </w:p>
        </w:tc>
        <w:tc>
          <w:tcPr>
            <w:tcW w:w="992" w:type="dxa"/>
            <w:vAlign w:val="center"/>
          </w:tcPr>
          <w:p w14:paraId="11553141">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6.1</w:t>
            </w:r>
          </w:p>
        </w:tc>
        <w:tc>
          <w:tcPr>
            <w:tcW w:w="992" w:type="dxa"/>
            <w:vAlign w:val="center"/>
          </w:tcPr>
          <w:p w14:paraId="3E3BFD36">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6.2</w:t>
            </w:r>
          </w:p>
        </w:tc>
        <w:tc>
          <w:tcPr>
            <w:tcW w:w="993" w:type="dxa"/>
            <w:vAlign w:val="center"/>
          </w:tcPr>
          <w:p w14:paraId="1BD388F3">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6.3</w:t>
            </w:r>
          </w:p>
        </w:tc>
        <w:tc>
          <w:tcPr>
            <w:tcW w:w="992" w:type="dxa"/>
            <w:vAlign w:val="center"/>
          </w:tcPr>
          <w:p w14:paraId="2726FE69">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6.4</w:t>
            </w:r>
          </w:p>
        </w:tc>
        <w:tc>
          <w:tcPr>
            <w:tcW w:w="992" w:type="dxa"/>
            <w:vAlign w:val="center"/>
          </w:tcPr>
          <w:p w14:paraId="7F67A860">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6.5</w:t>
            </w:r>
          </w:p>
        </w:tc>
      </w:tr>
      <w:tr w14:paraId="4C68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0F481A3B">
            <w:pPr>
              <w:widowControl/>
              <w:jc w:val="left"/>
              <w:rPr>
                <w:rFonts w:hint="default" w:ascii="Times New Roman" w:hAnsi="Times New Roman" w:eastAsia="仿宋_GB2312" w:cs="Times New Roman"/>
                <w:b/>
                <w:bCs/>
                <w:sz w:val="22"/>
                <w:szCs w:val="30"/>
              </w:rPr>
            </w:pPr>
          </w:p>
        </w:tc>
        <w:tc>
          <w:tcPr>
            <w:tcW w:w="4270" w:type="dxa"/>
            <w:vAlign w:val="center"/>
          </w:tcPr>
          <w:p w14:paraId="6421F903">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园区各类研发机构当量数（家）</w:t>
            </w:r>
          </w:p>
        </w:tc>
        <w:tc>
          <w:tcPr>
            <w:tcW w:w="992" w:type="dxa"/>
            <w:vAlign w:val="center"/>
          </w:tcPr>
          <w:p w14:paraId="73FD453F">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16</w:t>
            </w:r>
          </w:p>
        </w:tc>
        <w:tc>
          <w:tcPr>
            <w:tcW w:w="992" w:type="dxa"/>
            <w:vAlign w:val="center"/>
          </w:tcPr>
          <w:p w14:paraId="75310115">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18</w:t>
            </w:r>
          </w:p>
        </w:tc>
        <w:tc>
          <w:tcPr>
            <w:tcW w:w="993" w:type="dxa"/>
            <w:vAlign w:val="center"/>
          </w:tcPr>
          <w:p w14:paraId="1AF64CE4">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20</w:t>
            </w:r>
          </w:p>
        </w:tc>
        <w:tc>
          <w:tcPr>
            <w:tcW w:w="992" w:type="dxa"/>
            <w:vAlign w:val="center"/>
          </w:tcPr>
          <w:p w14:paraId="32C46DAD">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24</w:t>
            </w:r>
          </w:p>
        </w:tc>
        <w:tc>
          <w:tcPr>
            <w:tcW w:w="992" w:type="dxa"/>
            <w:vAlign w:val="center"/>
          </w:tcPr>
          <w:p w14:paraId="0529D679">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26</w:t>
            </w:r>
          </w:p>
        </w:tc>
      </w:tr>
      <w:tr w14:paraId="5927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3E6A471A">
            <w:pPr>
              <w:widowControl/>
              <w:jc w:val="left"/>
              <w:rPr>
                <w:rFonts w:hint="default" w:ascii="Times New Roman" w:hAnsi="Times New Roman" w:eastAsia="仿宋_GB2312" w:cs="Times New Roman"/>
                <w:b/>
                <w:bCs/>
                <w:sz w:val="22"/>
                <w:szCs w:val="30"/>
              </w:rPr>
            </w:pPr>
          </w:p>
        </w:tc>
        <w:tc>
          <w:tcPr>
            <w:tcW w:w="4270" w:type="dxa"/>
            <w:vAlign w:val="center"/>
          </w:tcPr>
          <w:p w14:paraId="3DF0164D">
            <w:pPr>
              <w:widowControl/>
              <w:adjustRightInd w:val="0"/>
              <w:snapToGrid w:val="0"/>
              <w:ind w:firstLine="440" w:firstLineChars="200"/>
              <w:rPr>
                <w:rFonts w:hint="default" w:ascii="Times New Roman" w:hAnsi="Times New Roman" w:eastAsia="仿宋_GB2312" w:cs="Times New Roman"/>
                <w:sz w:val="22"/>
              </w:rPr>
            </w:pPr>
            <w:r>
              <w:rPr>
                <w:rFonts w:hint="default" w:ascii="Times New Roman" w:hAnsi="Times New Roman" w:eastAsia="仿宋_GB2312" w:cs="Times New Roman"/>
                <w:sz w:val="22"/>
              </w:rPr>
              <w:t>——国家级研发机构数（家）</w:t>
            </w:r>
          </w:p>
        </w:tc>
        <w:tc>
          <w:tcPr>
            <w:tcW w:w="992" w:type="dxa"/>
            <w:vAlign w:val="center"/>
          </w:tcPr>
          <w:p w14:paraId="187280C1">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w:t>
            </w:r>
          </w:p>
        </w:tc>
        <w:tc>
          <w:tcPr>
            <w:tcW w:w="992" w:type="dxa"/>
            <w:vAlign w:val="center"/>
          </w:tcPr>
          <w:p w14:paraId="6BC7F15D">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3</w:t>
            </w:r>
          </w:p>
        </w:tc>
        <w:tc>
          <w:tcPr>
            <w:tcW w:w="993" w:type="dxa"/>
            <w:vAlign w:val="center"/>
          </w:tcPr>
          <w:p w14:paraId="7EE1D150">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4</w:t>
            </w:r>
          </w:p>
        </w:tc>
        <w:tc>
          <w:tcPr>
            <w:tcW w:w="992" w:type="dxa"/>
            <w:vAlign w:val="center"/>
          </w:tcPr>
          <w:p w14:paraId="7B0956F6">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5</w:t>
            </w:r>
          </w:p>
        </w:tc>
        <w:tc>
          <w:tcPr>
            <w:tcW w:w="992" w:type="dxa"/>
            <w:vAlign w:val="center"/>
          </w:tcPr>
          <w:p w14:paraId="15E92796">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w:t>
            </w:r>
          </w:p>
        </w:tc>
      </w:tr>
      <w:tr w14:paraId="7E66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26A82159">
            <w:pPr>
              <w:widowControl/>
              <w:jc w:val="left"/>
              <w:rPr>
                <w:rFonts w:hint="default" w:ascii="Times New Roman" w:hAnsi="Times New Roman" w:eastAsia="仿宋_GB2312" w:cs="Times New Roman"/>
                <w:b/>
                <w:bCs/>
                <w:sz w:val="22"/>
                <w:szCs w:val="30"/>
              </w:rPr>
            </w:pPr>
          </w:p>
        </w:tc>
        <w:tc>
          <w:tcPr>
            <w:tcW w:w="4270" w:type="dxa"/>
            <w:vAlign w:val="center"/>
          </w:tcPr>
          <w:p w14:paraId="101CA050">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园区各类创新创业服务机构当量数（家）</w:t>
            </w:r>
          </w:p>
        </w:tc>
        <w:tc>
          <w:tcPr>
            <w:tcW w:w="992" w:type="dxa"/>
            <w:vAlign w:val="center"/>
          </w:tcPr>
          <w:p w14:paraId="29BCE00D">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5</w:t>
            </w:r>
          </w:p>
        </w:tc>
        <w:tc>
          <w:tcPr>
            <w:tcW w:w="992" w:type="dxa"/>
            <w:vAlign w:val="center"/>
          </w:tcPr>
          <w:p w14:paraId="1E84746A">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w:t>
            </w:r>
          </w:p>
        </w:tc>
        <w:tc>
          <w:tcPr>
            <w:tcW w:w="993" w:type="dxa"/>
            <w:vAlign w:val="center"/>
          </w:tcPr>
          <w:p w14:paraId="611F4504">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7</w:t>
            </w:r>
          </w:p>
        </w:tc>
        <w:tc>
          <w:tcPr>
            <w:tcW w:w="992" w:type="dxa"/>
            <w:vAlign w:val="center"/>
          </w:tcPr>
          <w:p w14:paraId="2285906C">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8</w:t>
            </w:r>
          </w:p>
        </w:tc>
        <w:tc>
          <w:tcPr>
            <w:tcW w:w="992" w:type="dxa"/>
            <w:vAlign w:val="center"/>
          </w:tcPr>
          <w:p w14:paraId="75C5919D">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10</w:t>
            </w:r>
          </w:p>
        </w:tc>
      </w:tr>
      <w:tr w14:paraId="0B6E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4F51FFEE">
            <w:pPr>
              <w:widowControl/>
              <w:jc w:val="left"/>
              <w:rPr>
                <w:rFonts w:hint="default" w:ascii="Times New Roman" w:hAnsi="Times New Roman" w:eastAsia="仿宋_GB2312" w:cs="Times New Roman"/>
                <w:b/>
                <w:bCs/>
                <w:sz w:val="22"/>
                <w:szCs w:val="30"/>
              </w:rPr>
            </w:pPr>
          </w:p>
        </w:tc>
        <w:tc>
          <w:tcPr>
            <w:tcW w:w="4270" w:type="dxa"/>
            <w:vAlign w:val="center"/>
          </w:tcPr>
          <w:p w14:paraId="78126221">
            <w:pPr>
              <w:widowControl/>
              <w:adjustRightInd w:val="0"/>
              <w:snapToGrid w:val="0"/>
              <w:ind w:firstLine="440" w:firstLineChars="200"/>
              <w:rPr>
                <w:rFonts w:hint="default" w:ascii="Times New Roman" w:hAnsi="Times New Roman" w:eastAsia="仿宋_GB2312" w:cs="Times New Roman"/>
                <w:sz w:val="22"/>
              </w:rPr>
            </w:pPr>
            <w:r>
              <w:rPr>
                <w:rFonts w:hint="default" w:ascii="Times New Roman" w:hAnsi="Times New Roman" w:eastAsia="仿宋_GB2312" w:cs="Times New Roman"/>
                <w:sz w:val="22"/>
              </w:rPr>
              <w:t>——国家级创新创业服务机构数（家）</w:t>
            </w:r>
          </w:p>
        </w:tc>
        <w:tc>
          <w:tcPr>
            <w:tcW w:w="992" w:type="dxa"/>
            <w:vAlign w:val="center"/>
          </w:tcPr>
          <w:p w14:paraId="6E6B997A">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w:t>
            </w:r>
          </w:p>
        </w:tc>
        <w:tc>
          <w:tcPr>
            <w:tcW w:w="992" w:type="dxa"/>
            <w:vAlign w:val="center"/>
          </w:tcPr>
          <w:p w14:paraId="6A5CBD75">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3</w:t>
            </w:r>
          </w:p>
        </w:tc>
        <w:tc>
          <w:tcPr>
            <w:tcW w:w="993" w:type="dxa"/>
            <w:vAlign w:val="center"/>
          </w:tcPr>
          <w:p w14:paraId="169BF491">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4</w:t>
            </w:r>
          </w:p>
        </w:tc>
        <w:tc>
          <w:tcPr>
            <w:tcW w:w="992" w:type="dxa"/>
            <w:vAlign w:val="center"/>
          </w:tcPr>
          <w:p w14:paraId="42ECEA2A">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5</w:t>
            </w:r>
          </w:p>
        </w:tc>
        <w:tc>
          <w:tcPr>
            <w:tcW w:w="992" w:type="dxa"/>
            <w:vAlign w:val="center"/>
          </w:tcPr>
          <w:p w14:paraId="7B332561">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6</w:t>
            </w:r>
          </w:p>
        </w:tc>
      </w:tr>
      <w:tr w14:paraId="612D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706898FD">
            <w:pPr>
              <w:widowControl/>
              <w:jc w:val="left"/>
              <w:rPr>
                <w:rFonts w:hint="default" w:ascii="Times New Roman" w:hAnsi="Times New Roman" w:eastAsia="仿宋_GB2312" w:cs="Times New Roman"/>
                <w:b/>
                <w:bCs/>
                <w:sz w:val="22"/>
                <w:szCs w:val="30"/>
              </w:rPr>
            </w:pPr>
          </w:p>
        </w:tc>
        <w:tc>
          <w:tcPr>
            <w:tcW w:w="4270" w:type="dxa"/>
            <w:vAlign w:val="center"/>
          </w:tcPr>
          <w:p w14:paraId="4819E7D6">
            <w:pPr>
              <w:widowControl/>
              <w:adjustRightInd w:val="0"/>
              <w:snapToGrid w:val="0"/>
              <w:rPr>
                <w:rFonts w:hint="default" w:ascii="Times New Roman" w:hAnsi="Times New Roman" w:eastAsia="仿宋_GB2312" w:cs="Times New Roman"/>
                <w:sz w:val="22"/>
              </w:rPr>
            </w:pPr>
            <w:bookmarkStart w:id="27" w:name="_Hlk44419333"/>
            <w:r>
              <w:rPr>
                <w:rFonts w:hint="default" w:ascii="Times New Roman" w:hAnsi="Times New Roman" w:eastAsia="仿宋_GB2312" w:cs="Times New Roman"/>
                <w:sz w:val="22"/>
              </w:rPr>
              <w:t>企业每万人从业人员当年发明专利授权</w:t>
            </w:r>
            <w:bookmarkEnd w:id="27"/>
            <w:r>
              <w:rPr>
                <w:rFonts w:hint="default" w:ascii="Times New Roman" w:hAnsi="Times New Roman" w:eastAsia="仿宋_GB2312" w:cs="Times New Roman"/>
                <w:sz w:val="22"/>
              </w:rPr>
              <w:t>数（件）</w:t>
            </w:r>
          </w:p>
        </w:tc>
        <w:tc>
          <w:tcPr>
            <w:tcW w:w="992" w:type="dxa"/>
            <w:vAlign w:val="center"/>
          </w:tcPr>
          <w:p w14:paraId="2A09A7F3">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28</w:t>
            </w:r>
          </w:p>
        </w:tc>
        <w:tc>
          <w:tcPr>
            <w:tcW w:w="992" w:type="dxa"/>
            <w:vAlign w:val="center"/>
          </w:tcPr>
          <w:p w14:paraId="1A5B7DDA">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32</w:t>
            </w:r>
          </w:p>
        </w:tc>
        <w:tc>
          <w:tcPr>
            <w:tcW w:w="993" w:type="dxa"/>
            <w:vAlign w:val="center"/>
          </w:tcPr>
          <w:p w14:paraId="12B68B38">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35</w:t>
            </w:r>
          </w:p>
        </w:tc>
        <w:tc>
          <w:tcPr>
            <w:tcW w:w="992" w:type="dxa"/>
            <w:vAlign w:val="center"/>
          </w:tcPr>
          <w:p w14:paraId="4FBBC05F">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40</w:t>
            </w:r>
          </w:p>
        </w:tc>
        <w:tc>
          <w:tcPr>
            <w:tcW w:w="992" w:type="dxa"/>
            <w:vAlign w:val="center"/>
          </w:tcPr>
          <w:p w14:paraId="4C51DC2F">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50</w:t>
            </w:r>
          </w:p>
        </w:tc>
      </w:tr>
      <w:tr w14:paraId="7EF6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4E778A78">
            <w:pPr>
              <w:widowControl/>
              <w:jc w:val="left"/>
              <w:rPr>
                <w:rFonts w:hint="default" w:ascii="Times New Roman" w:hAnsi="Times New Roman" w:eastAsia="仿宋_GB2312" w:cs="Times New Roman"/>
                <w:b/>
                <w:bCs/>
                <w:sz w:val="22"/>
                <w:szCs w:val="30"/>
              </w:rPr>
            </w:pPr>
          </w:p>
        </w:tc>
        <w:tc>
          <w:tcPr>
            <w:tcW w:w="4270" w:type="dxa"/>
            <w:vAlign w:val="center"/>
          </w:tcPr>
          <w:p w14:paraId="7DA6818F">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各类孵化机构内当年新增的在孵企业数（家）</w:t>
            </w:r>
          </w:p>
        </w:tc>
        <w:tc>
          <w:tcPr>
            <w:tcW w:w="992" w:type="dxa"/>
            <w:vAlign w:val="center"/>
          </w:tcPr>
          <w:p w14:paraId="0681AC96">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90</w:t>
            </w:r>
          </w:p>
        </w:tc>
        <w:tc>
          <w:tcPr>
            <w:tcW w:w="992" w:type="dxa"/>
            <w:vAlign w:val="center"/>
          </w:tcPr>
          <w:p w14:paraId="55ADA49E">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90</w:t>
            </w:r>
          </w:p>
        </w:tc>
        <w:tc>
          <w:tcPr>
            <w:tcW w:w="993" w:type="dxa"/>
            <w:vAlign w:val="center"/>
          </w:tcPr>
          <w:p w14:paraId="17D32D7B">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90</w:t>
            </w:r>
          </w:p>
        </w:tc>
        <w:tc>
          <w:tcPr>
            <w:tcW w:w="992" w:type="dxa"/>
            <w:vAlign w:val="center"/>
          </w:tcPr>
          <w:p w14:paraId="486161C3">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100</w:t>
            </w:r>
          </w:p>
        </w:tc>
        <w:tc>
          <w:tcPr>
            <w:tcW w:w="992" w:type="dxa"/>
            <w:vAlign w:val="center"/>
          </w:tcPr>
          <w:p w14:paraId="123B74A7">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100</w:t>
            </w:r>
          </w:p>
        </w:tc>
      </w:tr>
      <w:tr w14:paraId="4D29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restart"/>
            <w:vAlign w:val="center"/>
          </w:tcPr>
          <w:p w14:paraId="70147676">
            <w:pPr>
              <w:widowControl/>
              <w:snapToGrid w:val="0"/>
              <w:jc w:val="center"/>
              <w:rPr>
                <w:rFonts w:hint="default" w:ascii="Times New Roman" w:hAnsi="Times New Roman" w:eastAsia="仿宋_GB2312" w:cs="Times New Roman"/>
                <w:b/>
                <w:bCs/>
                <w:sz w:val="22"/>
                <w:szCs w:val="30"/>
              </w:rPr>
            </w:pPr>
            <w:r>
              <w:rPr>
                <w:rFonts w:hint="default" w:ascii="Times New Roman" w:hAnsi="Times New Roman" w:eastAsia="仿宋_GB2312" w:cs="Times New Roman"/>
                <w:b/>
                <w:bCs/>
                <w:sz w:val="22"/>
                <w:szCs w:val="30"/>
              </w:rPr>
              <w:t>开放协同</w:t>
            </w:r>
          </w:p>
        </w:tc>
        <w:tc>
          <w:tcPr>
            <w:tcW w:w="4270" w:type="dxa"/>
            <w:vAlign w:val="center"/>
          </w:tcPr>
          <w:p w14:paraId="66C51F57">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外贸进出口总额（亿美元）</w:t>
            </w:r>
          </w:p>
        </w:tc>
        <w:tc>
          <w:tcPr>
            <w:tcW w:w="992" w:type="dxa"/>
            <w:vAlign w:val="center"/>
          </w:tcPr>
          <w:p w14:paraId="0BB698EC">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7</w:t>
            </w:r>
          </w:p>
        </w:tc>
        <w:tc>
          <w:tcPr>
            <w:tcW w:w="992" w:type="dxa"/>
            <w:vAlign w:val="center"/>
          </w:tcPr>
          <w:p w14:paraId="7E7CEC89">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8</w:t>
            </w:r>
          </w:p>
        </w:tc>
        <w:tc>
          <w:tcPr>
            <w:tcW w:w="993" w:type="dxa"/>
            <w:vAlign w:val="center"/>
          </w:tcPr>
          <w:p w14:paraId="27CA68CC">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9</w:t>
            </w:r>
          </w:p>
        </w:tc>
        <w:tc>
          <w:tcPr>
            <w:tcW w:w="992" w:type="dxa"/>
            <w:vAlign w:val="center"/>
          </w:tcPr>
          <w:p w14:paraId="76EE50ED">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11</w:t>
            </w:r>
          </w:p>
        </w:tc>
        <w:tc>
          <w:tcPr>
            <w:tcW w:w="992" w:type="dxa"/>
            <w:vAlign w:val="center"/>
          </w:tcPr>
          <w:p w14:paraId="11068122">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13</w:t>
            </w:r>
          </w:p>
        </w:tc>
      </w:tr>
      <w:tr w14:paraId="4F22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42419F5D">
            <w:pPr>
              <w:widowControl/>
              <w:snapToGrid w:val="0"/>
              <w:jc w:val="center"/>
              <w:rPr>
                <w:rFonts w:hint="default" w:ascii="Times New Roman" w:hAnsi="Times New Roman" w:eastAsia="仿宋_GB2312" w:cs="Times New Roman"/>
                <w:b/>
                <w:bCs/>
                <w:sz w:val="22"/>
                <w:szCs w:val="30"/>
              </w:rPr>
            </w:pPr>
          </w:p>
        </w:tc>
        <w:tc>
          <w:tcPr>
            <w:tcW w:w="4270" w:type="dxa"/>
            <w:vAlign w:val="center"/>
          </w:tcPr>
          <w:p w14:paraId="33567867">
            <w:pPr>
              <w:widowControl/>
              <w:adjustRightInd w:val="0"/>
              <w:snapToGrid w:val="0"/>
              <w:rPr>
                <w:rFonts w:hint="default" w:ascii="Times New Roman" w:hAnsi="Times New Roman" w:eastAsia="仿宋_GB2312" w:cs="Times New Roman"/>
                <w:sz w:val="22"/>
              </w:rPr>
            </w:pPr>
            <w:bookmarkStart w:id="28" w:name="_Hlk44419732"/>
            <w:r>
              <w:rPr>
                <w:rFonts w:hint="default" w:ascii="Times New Roman" w:hAnsi="Times New Roman" w:eastAsia="仿宋_GB2312" w:cs="Times New Roman"/>
                <w:sz w:val="22"/>
              </w:rPr>
              <w:t>高新技术企业出口额占营业收入比例</w:t>
            </w:r>
            <w:bookmarkEnd w:id="28"/>
            <w:r>
              <w:rPr>
                <w:rFonts w:hint="default" w:ascii="Times New Roman" w:hAnsi="Times New Roman" w:eastAsia="仿宋_GB2312" w:cs="Times New Roman"/>
                <w:sz w:val="22"/>
              </w:rPr>
              <w:t>（%）</w:t>
            </w:r>
          </w:p>
        </w:tc>
        <w:tc>
          <w:tcPr>
            <w:tcW w:w="992" w:type="dxa"/>
            <w:vAlign w:val="center"/>
          </w:tcPr>
          <w:p w14:paraId="739E59F2">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2.5</w:t>
            </w:r>
          </w:p>
        </w:tc>
        <w:tc>
          <w:tcPr>
            <w:tcW w:w="992" w:type="dxa"/>
            <w:vAlign w:val="center"/>
          </w:tcPr>
          <w:p w14:paraId="663D5BDF">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2.6</w:t>
            </w:r>
          </w:p>
        </w:tc>
        <w:tc>
          <w:tcPr>
            <w:tcW w:w="993" w:type="dxa"/>
            <w:vAlign w:val="center"/>
          </w:tcPr>
          <w:p w14:paraId="78AB4F65">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2.8</w:t>
            </w:r>
          </w:p>
        </w:tc>
        <w:tc>
          <w:tcPr>
            <w:tcW w:w="992" w:type="dxa"/>
            <w:vAlign w:val="center"/>
          </w:tcPr>
          <w:p w14:paraId="46F592BC">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2.9</w:t>
            </w:r>
          </w:p>
        </w:tc>
        <w:tc>
          <w:tcPr>
            <w:tcW w:w="992" w:type="dxa"/>
            <w:vAlign w:val="center"/>
          </w:tcPr>
          <w:p w14:paraId="7DD2C2C0">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3</w:t>
            </w:r>
          </w:p>
        </w:tc>
      </w:tr>
      <w:tr w14:paraId="412F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44DE925B">
            <w:pPr>
              <w:widowControl/>
              <w:jc w:val="left"/>
              <w:rPr>
                <w:rFonts w:hint="default" w:ascii="Times New Roman" w:hAnsi="Times New Roman" w:eastAsia="仿宋_GB2312" w:cs="Times New Roman"/>
                <w:b/>
                <w:bCs/>
                <w:sz w:val="22"/>
                <w:szCs w:val="30"/>
              </w:rPr>
            </w:pPr>
          </w:p>
        </w:tc>
        <w:tc>
          <w:tcPr>
            <w:tcW w:w="4270" w:type="dxa"/>
            <w:vAlign w:val="center"/>
          </w:tcPr>
          <w:p w14:paraId="22B3B686">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当年新发生海外直接投资或新增设有境外分支机构的企业数（家）</w:t>
            </w:r>
          </w:p>
        </w:tc>
        <w:tc>
          <w:tcPr>
            <w:tcW w:w="992" w:type="dxa"/>
            <w:vAlign w:val="center"/>
          </w:tcPr>
          <w:p w14:paraId="198DDF69">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w:t>
            </w:r>
          </w:p>
        </w:tc>
        <w:tc>
          <w:tcPr>
            <w:tcW w:w="992" w:type="dxa"/>
            <w:vAlign w:val="center"/>
          </w:tcPr>
          <w:p w14:paraId="1658E23C">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w:t>
            </w:r>
          </w:p>
        </w:tc>
        <w:tc>
          <w:tcPr>
            <w:tcW w:w="993" w:type="dxa"/>
            <w:vAlign w:val="center"/>
          </w:tcPr>
          <w:p w14:paraId="42767D8A">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w:t>
            </w:r>
          </w:p>
        </w:tc>
        <w:tc>
          <w:tcPr>
            <w:tcW w:w="992" w:type="dxa"/>
            <w:vAlign w:val="center"/>
          </w:tcPr>
          <w:p w14:paraId="2A1CAC9E">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w:t>
            </w:r>
          </w:p>
        </w:tc>
        <w:tc>
          <w:tcPr>
            <w:tcW w:w="992" w:type="dxa"/>
            <w:vAlign w:val="center"/>
          </w:tcPr>
          <w:p w14:paraId="34FA351D">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w:t>
            </w:r>
          </w:p>
        </w:tc>
      </w:tr>
      <w:tr w14:paraId="3CCC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restart"/>
            <w:vAlign w:val="center"/>
          </w:tcPr>
          <w:p w14:paraId="01AFCF66">
            <w:pPr>
              <w:widowControl/>
              <w:snapToGrid w:val="0"/>
              <w:jc w:val="center"/>
              <w:rPr>
                <w:rFonts w:hint="default" w:ascii="Times New Roman" w:hAnsi="Times New Roman" w:eastAsia="仿宋_GB2312" w:cs="Times New Roman"/>
                <w:b/>
                <w:bCs/>
                <w:sz w:val="22"/>
                <w:szCs w:val="30"/>
              </w:rPr>
            </w:pPr>
            <w:r>
              <w:rPr>
                <w:rFonts w:hint="default" w:ascii="Times New Roman" w:hAnsi="Times New Roman" w:eastAsia="仿宋_GB2312" w:cs="Times New Roman"/>
                <w:b/>
                <w:bCs/>
                <w:sz w:val="22"/>
                <w:szCs w:val="30"/>
              </w:rPr>
              <w:t>生态宜居</w:t>
            </w:r>
          </w:p>
        </w:tc>
        <w:tc>
          <w:tcPr>
            <w:tcW w:w="42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4B863">
            <w:pPr>
              <w:widowControl/>
              <w:adjustRightInd w:val="0"/>
              <w:snapToGrid w:val="0"/>
              <w:rPr>
                <w:rFonts w:hint="default" w:ascii="Times New Roman" w:hAnsi="Times New Roman" w:eastAsia="仿宋_GB2312" w:cs="Times New Roman"/>
                <w:sz w:val="22"/>
              </w:rPr>
            </w:pPr>
            <w:bookmarkStart w:id="29" w:name="_Hlk44421274"/>
            <w:r>
              <w:rPr>
                <w:rFonts w:hint="default" w:ascii="Times New Roman" w:hAnsi="Times New Roman" w:eastAsia="仿宋_GB2312" w:cs="Times New Roman"/>
                <w:sz w:val="22"/>
              </w:rPr>
              <w:t>各级各类医院当量数</w:t>
            </w:r>
            <w:bookmarkEnd w:id="29"/>
            <w:r>
              <w:rPr>
                <w:rFonts w:hint="default" w:ascii="Times New Roman" w:hAnsi="Times New Roman" w:eastAsia="仿宋_GB2312" w:cs="Times New Roman"/>
                <w:sz w:val="22"/>
              </w:rPr>
              <w:t>（家）</w:t>
            </w:r>
          </w:p>
        </w:tc>
        <w:tc>
          <w:tcPr>
            <w:tcW w:w="992" w:type="dxa"/>
            <w:vAlign w:val="center"/>
          </w:tcPr>
          <w:p w14:paraId="42345455">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1.8</w:t>
            </w:r>
          </w:p>
        </w:tc>
        <w:tc>
          <w:tcPr>
            <w:tcW w:w="992" w:type="dxa"/>
            <w:vAlign w:val="center"/>
          </w:tcPr>
          <w:p w14:paraId="0471E7A6">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2.0</w:t>
            </w:r>
          </w:p>
        </w:tc>
        <w:tc>
          <w:tcPr>
            <w:tcW w:w="993" w:type="dxa"/>
            <w:vAlign w:val="center"/>
          </w:tcPr>
          <w:p w14:paraId="1AA033AC">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2.3</w:t>
            </w:r>
          </w:p>
        </w:tc>
        <w:tc>
          <w:tcPr>
            <w:tcW w:w="992" w:type="dxa"/>
            <w:vAlign w:val="center"/>
          </w:tcPr>
          <w:p w14:paraId="79A81E9C">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3</w:t>
            </w:r>
          </w:p>
        </w:tc>
        <w:tc>
          <w:tcPr>
            <w:tcW w:w="992" w:type="dxa"/>
            <w:vAlign w:val="center"/>
          </w:tcPr>
          <w:p w14:paraId="76611C3E">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3.3</w:t>
            </w:r>
          </w:p>
        </w:tc>
      </w:tr>
      <w:tr w14:paraId="49DD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798BC916">
            <w:pPr>
              <w:widowControl/>
              <w:jc w:val="left"/>
              <w:rPr>
                <w:rFonts w:hint="default" w:ascii="Times New Roman" w:hAnsi="Times New Roman" w:eastAsia="仿宋_GB2312" w:cs="Times New Roman"/>
                <w:b/>
                <w:bCs/>
                <w:sz w:val="22"/>
                <w:szCs w:val="30"/>
              </w:rPr>
            </w:pPr>
          </w:p>
        </w:tc>
        <w:tc>
          <w:tcPr>
            <w:tcW w:w="42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721FF">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重点高中、初中小学和国际学校(含双语幼儿园)当量数（家）</w:t>
            </w:r>
          </w:p>
        </w:tc>
        <w:tc>
          <w:tcPr>
            <w:tcW w:w="992" w:type="dxa"/>
            <w:vAlign w:val="center"/>
          </w:tcPr>
          <w:p w14:paraId="463D53CA">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8</w:t>
            </w:r>
          </w:p>
        </w:tc>
        <w:tc>
          <w:tcPr>
            <w:tcW w:w="992" w:type="dxa"/>
            <w:vAlign w:val="center"/>
          </w:tcPr>
          <w:p w14:paraId="2A382258">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9</w:t>
            </w:r>
          </w:p>
        </w:tc>
        <w:tc>
          <w:tcPr>
            <w:tcW w:w="993" w:type="dxa"/>
            <w:vAlign w:val="center"/>
          </w:tcPr>
          <w:p w14:paraId="74FA010A">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10</w:t>
            </w:r>
          </w:p>
        </w:tc>
        <w:tc>
          <w:tcPr>
            <w:tcW w:w="992" w:type="dxa"/>
            <w:vAlign w:val="center"/>
          </w:tcPr>
          <w:p w14:paraId="0047B2D8">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11</w:t>
            </w:r>
          </w:p>
        </w:tc>
        <w:tc>
          <w:tcPr>
            <w:tcW w:w="992" w:type="dxa"/>
            <w:vAlign w:val="center"/>
          </w:tcPr>
          <w:p w14:paraId="568A3504">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12</w:t>
            </w:r>
          </w:p>
        </w:tc>
      </w:tr>
      <w:tr w14:paraId="269F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1E0AFFAA">
            <w:pPr>
              <w:widowControl/>
              <w:jc w:val="left"/>
              <w:rPr>
                <w:rFonts w:hint="default" w:ascii="Times New Roman" w:hAnsi="Times New Roman" w:eastAsia="仿宋_GB2312" w:cs="Times New Roman"/>
                <w:b/>
                <w:bCs/>
                <w:sz w:val="22"/>
                <w:szCs w:val="30"/>
              </w:rPr>
            </w:pPr>
          </w:p>
        </w:tc>
        <w:tc>
          <w:tcPr>
            <w:tcW w:w="42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593C7">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当年净增从业人员数（万人）</w:t>
            </w:r>
          </w:p>
        </w:tc>
        <w:tc>
          <w:tcPr>
            <w:tcW w:w="992" w:type="dxa"/>
            <w:vAlign w:val="center"/>
          </w:tcPr>
          <w:p w14:paraId="661CC6EA">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0.5</w:t>
            </w:r>
          </w:p>
        </w:tc>
        <w:tc>
          <w:tcPr>
            <w:tcW w:w="992" w:type="dxa"/>
            <w:vAlign w:val="center"/>
          </w:tcPr>
          <w:p w14:paraId="6E47DB19">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0.6</w:t>
            </w:r>
          </w:p>
        </w:tc>
        <w:tc>
          <w:tcPr>
            <w:tcW w:w="993" w:type="dxa"/>
            <w:vAlign w:val="center"/>
          </w:tcPr>
          <w:p w14:paraId="11AC4147">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0.6</w:t>
            </w:r>
          </w:p>
        </w:tc>
        <w:tc>
          <w:tcPr>
            <w:tcW w:w="992" w:type="dxa"/>
            <w:vAlign w:val="center"/>
          </w:tcPr>
          <w:p w14:paraId="110D8571">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0.7</w:t>
            </w:r>
          </w:p>
        </w:tc>
        <w:tc>
          <w:tcPr>
            <w:tcW w:w="992" w:type="dxa"/>
            <w:vAlign w:val="center"/>
          </w:tcPr>
          <w:p w14:paraId="33D45EED">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0.7</w:t>
            </w:r>
          </w:p>
        </w:tc>
      </w:tr>
      <w:tr w14:paraId="048F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Merge w:val="continue"/>
            <w:vAlign w:val="center"/>
          </w:tcPr>
          <w:p w14:paraId="61E75384">
            <w:pPr>
              <w:widowControl/>
              <w:jc w:val="left"/>
              <w:rPr>
                <w:rFonts w:hint="default" w:ascii="Times New Roman" w:hAnsi="Times New Roman" w:eastAsia="仿宋_GB2312" w:cs="Times New Roman"/>
                <w:b/>
                <w:bCs/>
                <w:sz w:val="22"/>
                <w:szCs w:val="30"/>
              </w:rPr>
            </w:pPr>
          </w:p>
        </w:tc>
        <w:tc>
          <w:tcPr>
            <w:tcW w:w="42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C1565">
            <w:pPr>
              <w:widowControl/>
              <w:adjustRightInd w:val="0"/>
              <w:snapToGrid w:val="0"/>
              <w:rPr>
                <w:rFonts w:hint="default" w:ascii="Times New Roman" w:hAnsi="Times New Roman" w:eastAsia="仿宋_GB2312" w:cs="Times New Roman"/>
                <w:sz w:val="22"/>
              </w:rPr>
            </w:pPr>
            <w:r>
              <w:rPr>
                <w:rFonts w:hint="default" w:ascii="Times New Roman" w:hAnsi="Times New Roman" w:eastAsia="仿宋_GB2312" w:cs="Times New Roman"/>
                <w:sz w:val="22"/>
              </w:rPr>
              <w:t>单位增加值综合能耗（吨标准煤/万元）</w:t>
            </w:r>
          </w:p>
        </w:tc>
        <w:tc>
          <w:tcPr>
            <w:tcW w:w="992" w:type="dxa"/>
            <w:vAlign w:val="center"/>
          </w:tcPr>
          <w:p w14:paraId="16D67496">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0.078</w:t>
            </w:r>
          </w:p>
        </w:tc>
        <w:tc>
          <w:tcPr>
            <w:tcW w:w="992" w:type="dxa"/>
            <w:vAlign w:val="center"/>
          </w:tcPr>
          <w:p w14:paraId="1EDE48A6">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0.075</w:t>
            </w:r>
          </w:p>
        </w:tc>
        <w:tc>
          <w:tcPr>
            <w:tcW w:w="993" w:type="dxa"/>
            <w:vAlign w:val="center"/>
          </w:tcPr>
          <w:p w14:paraId="6A0F3153">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0.07</w:t>
            </w:r>
          </w:p>
        </w:tc>
        <w:tc>
          <w:tcPr>
            <w:tcW w:w="992" w:type="dxa"/>
            <w:vAlign w:val="center"/>
          </w:tcPr>
          <w:p w14:paraId="59FAFD59">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0.065</w:t>
            </w:r>
          </w:p>
        </w:tc>
        <w:tc>
          <w:tcPr>
            <w:tcW w:w="992" w:type="dxa"/>
            <w:vAlign w:val="center"/>
          </w:tcPr>
          <w:p w14:paraId="7F0A21C9">
            <w:pPr>
              <w:widowControl/>
              <w:snapToGrid w:val="0"/>
              <w:spacing w:line="400" w:lineRule="exact"/>
              <w:ind w:left="720" w:hanging="720"/>
              <w:jc w:val="center"/>
              <w:textAlignment w:val="baseline"/>
              <w:rPr>
                <w:rFonts w:hint="default" w:ascii="Times New Roman" w:hAnsi="Times New Roman" w:eastAsia="仿宋_GB2312" w:cs="Times New Roman"/>
                <w:sz w:val="22"/>
              </w:rPr>
            </w:pPr>
            <w:r>
              <w:rPr>
                <w:rFonts w:hint="default" w:ascii="Times New Roman" w:hAnsi="Times New Roman" w:eastAsia="仿宋_GB2312" w:cs="Times New Roman"/>
                <w:color w:val="000000" w:themeColor="text1"/>
                <w:sz w:val="22"/>
                <w14:textFill>
                  <w14:solidFill>
                    <w14:schemeClr w14:val="tx1"/>
                  </w14:solidFill>
                </w14:textFill>
              </w:rPr>
              <w:t>0.06</w:t>
            </w:r>
          </w:p>
        </w:tc>
      </w:tr>
    </w:tbl>
    <w:p w14:paraId="3C03A70A">
      <w:pPr>
        <w:pStyle w:val="2"/>
        <w:spacing w:before="0" w:after="0" w:line="560" w:lineRule="exact"/>
        <w:jc w:val="center"/>
        <w:rPr>
          <w:rFonts w:hint="default" w:ascii="Times New Roman" w:hAnsi="Times New Roman" w:eastAsia="黑体" w:cs="Times New Roman"/>
          <w:color w:val="FF0000"/>
          <w:sz w:val="32"/>
        </w:rPr>
      </w:pPr>
      <w:bookmarkStart w:id="30" w:name="_Toc67935913"/>
      <w:r>
        <w:rPr>
          <w:rFonts w:hint="default" w:ascii="Times New Roman" w:hAnsi="Times New Roman" w:eastAsia="黑体" w:cs="Times New Roman"/>
          <w:sz w:val="32"/>
        </w:rPr>
        <w:t>三、</w:t>
      </w:r>
      <w:r>
        <w:rPr>
          <w:rFonts w:hint="eastAsia" w:ascii="Times New Roman" w:hAnsi="Times New Roman" w:eastAsia="黑体" w:cs="Times New Roman"/>
          <w:sz w:val="32"/>
          <w:lang w:eastAsia="zh-CN"/>
        </w:rPr>
        <w:t>“</w:t>
      </w:r>
      <w:r>
        <w:rPr>
          <w:rFonts w:hint="default" w:ascii="Times New Roman" w:hAnsi="Times New Roman" w:eastAsia="黑体" w:cs="Times New Roman"/>
          <w:sz w:val="32"/>
        </w:rPr>
        <w:t>十四五</w:t>
      </w:r>
      <w:r>
        <w:rPr>
          <w:rFonts w:hint="eastAsia" w:ascii="Times New Roman" w:hAnsi="Times New Roman" w:eastAsia="黑体" w:cs="Times New Roman"/>
          <w:sz w:val="32"/>
          <w:lang w:eastAsia="zh-CN"/>
        </w:rPr>
        <w:t>”</w:t>
      </w:r>
      <w:r>
        <w:rPr>
          <w:rFonts w:hint="default" w:ascii="Times New Roman" w:hAnsi="Times New Roman" w:eastAsia="黑体" w:cs="Times New Roman"/>
          <w:sz w:val="32"/>
        </w:rPr>
        <w:t>任务部署</w:t>
      </w:r>
      <w:bookmarkEnd w:id="30"/>
    </w:p>
    <w:p w14:paraId="562B4F4B">
      <w:pPr>
        <w:pStyle w:val="3"/>
        <w:widowControl/>
        <w:spacing w:before="156" w:beforeLines="50" w:after="156" w:afterLines="50" w:line="52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31" w:name="_Toc67935914"/>
      <w:r>
        <w:rPr>
          <w:rFonts w:hint="default" w:ascii="Times New Roman" w:hAnsi="Times New Roman" w:eastAsia="黑体" w:cs="Times New Roman"/>
          <w:b w:val="0"/>
          <w:bCs w:val="0"/>
          <w:color w:val="000000" w:themeColor="text1"/>
          <w14:textFill>
            <w14:solidFill>
              <w14:schemeClr w14:val="tx1"/>
            </w14:solidFill>
          </w14:textFill>
        </w:rPr>
        <w:t>（一）培育高质量产业集群，构筑发展新优势</w:t>
      </w:r>
      <w:bookmarkEnd w:id="31"/>
    </w:p>
    <w:p w14:paraId="38B4EE98">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把发展经济的着力点放在实体经济上，坚持产业提质增效和新兴培育两手抓，</w:t>
      </w:r>
      <w:bookmarkStart w:id="32" w:name="_Hlk66455878"/>
      <w:r>
        <w:rPr>
          <w:rFonts w:hint="default" w:ascii="Times New Roman" w:hAnsi="Times New Roman" w:eastAsia="仿宋_GB2312" w:cs="Times New Roman"/>
          <w:sz w:val="32"/>
        </w:rPr>
        <w:t>实施</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工业倍增计划</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，做强做优卷烟及配套、先进装备制造</w:t>
      </w:r>
      <w:bookmarkStart w:id="33" w:name="_Hlk66456215"/>
      <w:r>
        <w:rPr>
          <w:rFonts w:hint="default" w:ascii="Times New Roman" w:hAnsi="Times New Roman" w:eastAsia="仿宋_GB2312" w:cs="Times New Roman"/>
          <w:sz w:val="32"/>
        </w:rPr>
        <w:t>两大主导产业</w:t>
      </w:r>
      <w:bookmarkEnd w:id="32"/>
      <w:bookmarkEnd w:id="33"/>
      <w:r>
        <w:rPr>
          <w:rFonts w:hint="default" w:ascii="Times New Roman" w:hAnsi="Times New Roman" w:eastAsia="仿宋_GB2312" w:cs="Times New Roman"/>
          <w:sz w:val="32"/>
        </w:rPr>
        <w:t>，加速壮大</w:t>
      </w:r>
      <w:bookmarkStart w:id="34" w:name="_Hlk66457155"/>
      <w:r>
        <w:rPr>
          <w:rFonts w:hint="default" w:ascii="Times New Roman" w:hAnsi="Times New Roman" w:eastAsia="仿宋_GB2312" w:cs="Times New Roman"/>
          <w:sz w:val="32"/>
        </w:rPr>
        <w:t>生物医药及医疗器械、数字经济、新能源新材料</w:t>
      </w:r>
      <w:bookmarkEnd w:id="34"/>
      <w:r>
        <w:rPr>
          <w:rFonts w:hint="default" w:ascii="Times New Roman" w:hAnsi="Times New Roman" w:eastAsia="仿宋_GB2312" w:cs="Times New Roman"/>
          <w:sz w:val="32"/>
        </w:rPr>
        <w:t>三大爆发型产业，夯实发展现代服务业支撑型产业，强化创新型企业群落培育和场景应用，打造</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231</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特色产业体系。</w:t>
      </w:r>
    </w:p>
    <w:p w14:paraId="25660E0D">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35" w:name="_Toc67935915"/>
      <w:r>
        <w:rPr>
          <w:rFonts w:hint="default" w:ascii="Times New Roman" w:hAnsi="Times New Roman" w:eastAsia="楷体_GB2312" w:cs="Times New Roman"/>
          <w:bCs w:val="0"/>
          <w:color w:val="000000" w:themeColor="text1"/>
          <w14:textFill>
            <w14:solidFill>
              <w14:schemeClr w14:val="tx1"/>
            </w14:solidFill>
          </w14:textFill>
        </w:rPr>
        <w:t>1.打造</w:t>
      </w:r>
      <w:r>
        <w:rPr>
          <w:rFonts w:hint="eastAsia" w:ascii="Times New Roman" w:hAnsi="Times New Roman" w:eastAsia="楷体_GB2312" w:cs="Times New Roman"/>
          <w:bCs w:val="0"/>
          <w:color w:val="000000" w:themeColor="text1"/>
          <w:lang w:eastAsia="zh-CN"/>
          <w14:textFill>
            <w14:solidFill>
              <w14:schemeClr w14:val="tx1"/>
            </w14:solidFill>
          </w14:textFill>
        </w:rPr>
        <w:t>“</w:t>
      </w:r>
      <w:r>
        <w:rPr>
          <w:rFonts w:hint="default" w:ascii="Times New Roman" w:hAnsi="Times New Roman" w:eastAsia="楷体_GB2312" w:cs="Times New Roman"/>
          <w:bCs w:val="0"/>
          <w:color w:val="000000" w:themeColor="text1"/>
          <w14:textFill>
            <w14:solidFill>
              <w14:schemeClr w14:val="tx1"/>
            </w14:solidFill>
          </w14:textFill>
        </w:rPr>
        <w:t>231</w:t>
      </w:r>
      <w:r>
        <w:rPr>
          <w:rFonts w:hint="eastAsia" w:ascii="Times New Roman" w:hAnsi="Times New Roman" w:eastAsia="楷体_GB2312" w:cs="Times New Roman"/>
          <w:bCs w:val="0"/>
          <w:color w:val="000000" w:themeColor="text1"/>
          <w:lang w:eastAsia="zh-CN"/>
          <w14:textFill>
            <w14:solidFill>
              <w14:schemeClr w14:val="tx1"/>
            </w14:solidFill>
          </w14:textFill>
        </w:rPr>
        <w:t>”</w:t>
      </w:r>
      <w:r>
        <w:rPr>
          <w:rFonts w:hint="default" w:ascii="Times New Roman" w:hAnsi="Times New Roman" w:eastAsia="楷体_GB2312" w:cs="Times New Roman"/>
          <w:bCs w:val="0"/>
          <w:color w:val="000000" w:themeColor="text1"/>
          <w14:textFill>
            <w14:solidFill>
              <w14:schemeClr w14:val="tx1"/>
            </w14:solidFill>
          </w14:textFill>
        </w:rPr>
        <w:t>现代产业体系</w:t>
      </w:r>
      <w:bookmarkEnd w:id="35"/>
    </w:p>
    <w:p w14:paraId="07841510">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做强做优两大主导产业。</w:t>
      </w:r>
      <w:r>
        <w:rPr>
          <w:rFonts w:hint="default" w:ascii="Times New Roman" w:hAnsi="Times New Roman" w:eastAsia="仿宋_GB2312" w:cs="Times New Roman"/>
          <w:sz w:val="32"/>
        </w:rPr>
        <w:t>巩固提升卷烟及配套产业。坚持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三个不变</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工作思路，立足本地卷烟及配套产业发展基础，强化科技创新支撑，开发</w:t>
      </w:r>
      <w:bookmarkStart w:id="36" w:name="_Hlk66456372"/>
      <w:r>
        <w:rPr>
          <w:rFonts w:hint="default" w:ascii="Times New Roman" w:hAnsi="Times New Roman" w:eastAsia="仿宋_GB2312" w:cs="Times New Roman"/>
          <w:sz w:val="32"/>
        </w:rPr>
        <w:t>中高端烟草制品</w:t>
      </w:r>
      <w:bookmarkEnd w:id="36"/>
      <w:r>
        <w:rPr>
          <w:rFonts w:hint="default" w:ascii="Times New Roman" w:hAnsi="Times New Roman" w:eastAsia="仿宋_GB2312" w:cs="Times New Roman"/>
          <w:sz w:val="32"/>
        </w:rPr>
        <w:t>，做大做强烟标、BOPP、香精香料等配套产业，积极拓展非烟产品市场，进一步巩固提升卷烟及配套产业在全国的影响力。力争到2025年，实现主营业务收入630亿元。做大做强先进装备制造产业。充分发挥本地矿产资源、铸造基础优势，坚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高端化、数字化</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发展方向，重点发展高端数控机床，提升发展智能终端制造、钢铁压延及加工、装备制造等，打造以数控机床为特色的</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智造</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集群。力争到2025年，实现主营业务收入500亿元。</w:t>
      </w:r>
    </w:p>
    <w:tbl>
      <w:tblPr>
        <w:tblStyle w:val="14"/>
        <w:tblW w:w="0" w:type="auto"/>
        <w:jc w:val="center"/>
        <w:tblBorders>
          <w:top w:val="single" w:color="000000" w:sz="8" w:space="0"/>
          <w:left w:val="single" w:color="000000" w:sz="8" w:space="0"/>
          <w:bottom w:val="single" w:color="auto"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28"/>
      </w:tblGrid>
      <w:tr w14:paraId="5BFAB027">
        <w:tblPrEx>
          <w:tblBorders>
            <w:top w:val="single" w:color="000000" w:sz="8" w:space="0"/>
            <w:left w:val="single" w:color="000000" w:sz="8" w:space="0"/>
            <w:bottom w:val="single" w:color="auto"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jc w:val="center"/>
        </w:trPr>
        <w:tc>
          <w:tcPr>
            <w:tcW w:w="8528" w:type="dxa"/>
            <w:tcMar>
              <w:top w:w="0" w:type="dxa"/>
              <w:left w:w="108" w:type="dxa"/>
              <w:bottom w:w="0" w:type="dxa"/>
              <w:right w:w="108" w:type="dxa"/>
            </w:tcMar>
          </w:tcPr>
          <w:p w14:paraId="5A6FC847">
            <w:pPr>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专栏1 两大</w:t>
            </w:r>
            <w:r>
              <w:rPr>
                <w:rFonts w:hint="default" w:ascii="Times New Roman" w:hAnsi="Times New Roman" w:eastAsia="黑体" w:cs="Times New Roman"/>
                <w:bCs/>
                <w:sz w:val="30"/>
                <w:szCs w:val="30"/>
              </w:rPr>
              <w:t>主导产业重点发展领域</w:t>
            </w:r>
          </w:p>
        </w:tc>
      </w:tr>
      <w:tr w14:paraId="6CC2787E">
        <w:tblPrEx>
          <w:tblBorders>
            <w:top w:val="single" w:color="000000" w:sz="8" w:space="0"/>
            <w:left w:val="single" w:color="000000" w:sz="8" w:space="0"/>
            <w:bottom w:val="single" w:color="auto"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28" w:type="dxa"/>
            <w:tcBorders>
              <w:bottom w:val="single" w:color="auto" w:sz="8" w:space="0"/>
            </w:tcBorders>
            <w:tcMar>
              <w:top w:w="0" w:type="dxa"/>
              <w:left w:w="108" w:type="dxa"/>
              <w:bottom w:w="0" w:type="dxa"/>
              <w:right w:w="108" w:type="dxa"/>
            </w:tcMar>
          </w:tcPr>
          <w:p w14:paraId="1BBD3770">
            <w:pPr>
              <w:pStyle w:val="25"/>
              <w:widowControl/>
              <w:numPr>
                <w:ilvl w:val="0"/>
                <w:numId w:val="1"/>
              </w:numPr>
              <w:tabs>
                <w:tab w:val="left" w:pos="0"/>
              </w:tabs>
              <w:autoSpaceDE w:val="0"/>
              <w:spacing w:before="156" w:beforeLines="50" w:after="156" w:afterLines="50" w:line="400" w:lineRule="exact"/>
              <w:ind w:firstLineChars="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卷烟及配套</w:t>
            </w:r>
          </w:p>
          <w:p w14:paraId="31174DDB">
            <w:pPr>
              <w:pStyle w:val="25"/>
              <w:widowControl/>
              <w:numPr>
                <w:ilvl w:val="0"/>
                <w:numId w:val="2"/>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中高端烟草制品。</w:t>
            </w:r>
            <w:r>
              <w:rPr>
                <w:rFonts w:hint="default" w:ascii="Times New Roman" w:hAnsi="Times New Roman" w:eastAsia="仿宋_GB2312" w:cs="Times New Roman"/>
                <w:sz w:val="30"/>
                <w:szCs w:val="30"/>
              </w:rPr>
              <w:t>抓住卷烟市场消费升级和模式转变的契机，引导企业加大研发创新投入，开展技术改造与设备更新，着力在原料配方、减害降焦、新型烟草制品等方面取得新突破，积极发展一批细支烟、低焦烟等新型高技术、高品质产品。</w:t>
            </w:r>
          </w:p>
          <w:p w14:paraId="6591E29E">
            <w:pPr>
              <w:pStyle w:val="25"/>
              <w:widowControl/>
              <w:numPr>
                <w:ilvl w:val="0"/>
                <w:numId w:val="2"/>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配套产品。</w:t>
            </w:r>
            <w:r>
              <w:rPr>
                <w:rFonts w:hint="default" w:ascii="Times New Roman" w:hAnsi="Times New Roman" w:eastAsia="仿宋_GB2312" w:cs="Times New Roman"/>
                <w:sz w:val="30"/>
                <w:szCs w:val="30"/>
              </w:rPr>
              <w:t>支持卷烟配套企业创新发展，利用技术、人才、设备等优势，积极拓展非烟产品市场，鼓励烟标、BOPP等生产企业立足</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大包装</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大印刷</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理念，发展液态食品、电子电器、医药、旅游商品及高端礼品等中高端新型包装。引导香精香料生产企业加强香精提取、天然香料生产等深加工领域的技术突破与产业化，积极向食用香精香料和日化香精香料领域转型。</w:t>
            </w:r>
          </w:p>
          <w:p w14:paraId="6DD3684B">
            <w:pPr>
              <w:pStyle w:val="25"/>
              <w:widowControl/>
              <w:numPr>
                <w:ilvl w:val="0"/>
                <w:numId w:val="1"/>
              </w:numPr>
              <w:tabs>
                <w:tab w:val="left" w:pos="0"/>
              </w:tabs>
              <w:autoSpaceDE w:val="0"/>
              <w:spacing w:before="156" w:beforeLines="50" w:after="156" w:afterLines="50" w:line="400" w:lineRule="exact"/>
              <w:ind w:firstLineChars="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先进装备制造</w:t>
            </w:r>
          </w:p>
          <w:p w14:paraId="1E7C0996">
            <w:pPr>
              <w:pStyle w:val="25"/>
              <w:widowControl/>
              <w:numPr>
                <w:ilvl w:val="0"/>
                <w:numId w:val="3"/>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高端数控机床。</w:t>
            </w:r>
            <w:r>
              <w:rPr>
                <w:rFonts w:hint="default" w:ascii="Times New Roman" w:hAnsi="Times New Roman" w:eastAsia="仿宋_GB2312" w:cs="Times New Roman"/>
                <w:sz w:val="30"/>
                <w:szCs w:val="30"/>
              </w:rPr>
              <w:t>围绕主轴、刀库等核心环节，引进一批科技型企业，进一步完善上下游产业链。加快推动数控机床产业数字化改造，打造机床产业数字化转型试点示范，支持企业探索机床网络协同制造，加快生产组织方式创新。</w:t>
            </w:r>
          </w:p>
          <w:p w14:paraId="2D04E876">
            <w:pPr>
              <w:pStyle w:val="25"/>
              <w:widowControl/>
              <w:numPr>
                <w:ilvl w:val="0"/>
                <w:numId w:val="3"/>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装备制造</w:t>
            </w:r>
            <w:r>
              <w:rPr>
                <w:rFonts w:hint="default" w:ascii="Times New Roman" w:hAnsi="Times New Roman" w:eastAsia="仿宋_GB2312" w:cs="Times New Roman"/>
                <w:sz w:val="30"/>
                <w:szCs w:val="30"/>
              </w:rPr>
              <w:t>。围绕全省及南亚、东南亚国家需求，大力发展农机装备、电气设备等，支持企业不断提升技术创新水平，增强产品市场竞争力。</w:t>
            </w:r>
          </w:p>
          <w:p w14:paraId="1A1B1148">
            <w:pPr>
              <w:pStyle w:val="25"/>
              <w:widowControl/>
              <w:numPr>
                <w:ilvl w:val="0"/>
                <w:numId w:val="3"/>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智能终端制造。</w:t>
            </w:r>
            <w:r>
              <w:rPr>
                <w:rFonts w:hint="default" w:ascii="Times New Roman" w:hAnsi="Times New Roman" w:eastAsia="仿宋_GB2312" w:cs="Times New Roman"/>
                <w:sz w:val="30"/>
                <w:szCs w:val="30"/>
              </w:rPr>
              <w:t>面向两亚市场需求，依托美辰科技等骨干企业，持续开展以商招商，大力发展智能手机、翻译机、智能穿戴等产品，培育发展智能电视、车载智能终端、智能控制器等产品。</w:t>
            </w:r>
          </w:p>
          <w:p w14:paraId="0E60660A">
            <w:pPr>
              <w:pStyle w:val="25"/>
              <w:widowControl/>
              <w:numPr>
                <w:ilvl w:val="0"/>
                <w:numId w:val="3"/>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钢铁压延及加工。</w:t>
            </w:r>
            <w:r>
              <w:rPr>
                <w:rFonts w:hint="default" w:ascii="Times New Roman" w:hAnsi="Times New Roman" w:eastAsia="仿宋_GB2312" w:cs="Times New Roman"/>
                <w:sz w:val="30"/>
                <w:szCs w:val="30"/>
              </w:rPr>
              <w:t>紧抓云南省钢铁产业优化升级的重要机遇，积极争取昆钢集团针对玉钢和红钢的产能优化整合到玉钢，支持玉钢、太标等龙头企业延伸钢铁及压延加工产业链，拓展精深加工环节，持续加大技改投资，构建绿色产品、绿色工厂、绿色园区、绿色供应链</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四位一体</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的绿色制造体系。</w:t>
            </w:r>
          </w:p>
        </w:tc>
      </w:tr>
    </w:tbl>
    <w:p w14:paraId="14EA73D5">
      <w:pPr>
        <w:rPr>
          <w:rFonts w:hint="default" w:ascii="Times New Roman" w:hAnsi="Times New Roman" w:cs="Times New Roman"/>
        </w:rPr>
      </w:pPr>
    </w:p>
    <w:p w14:paraId="7FF21300">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加速壮大三大爆发型产业。</w:t>
      </w:r>
      <w:r>
        <w:rPr>
          <w:rFonts w:hint="default" w:ascii="Times New Roman" w:hAnsi="Times New Roman" w:eastAsia="仿宋_GB2312" w:cs="Times New Roman"/>
          <w:sz w:val="32"/>
        </w:rPr>
        <w:t>全力打造生物医药及医疗器械产业。立足园区生物医药特色产业基地优势，坚持开放式创新、高端化突破、特色化发展，全力做大做强生物制药、现代中药等重点领域，加快发展绿色食品及保健品，积极布局高端医疗器械、仿制药、健康服务等环节，全面壮大产业规模。力争到2025年，实现主营业务收入400亿元。重点培育数字经济产业。抢抓数字云南、数字玉溪建设机遇，以精准招商补链延链和强化行业应用为核心，大力发展电子信息制造领域，加快拓展数字服务领域，积极布局工业互联网等新业态，培育数字经济新动能。力争到2025年，实现主营业务收入150亿元。积极壮大新能源新材料产业。紧抓云南省打造</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绿色能源牌</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和玉溪发现大规模锂矿的战略机遇，发挥骨干企业带动作用，积极承接东部产业转移，大力发展新能源材料和光电子材料，逐步打造新能源新材料产业集群。力争到2025年，实现主营业务收入120亿元。</w:t>
      </w:r>
    </w:p>
    <w:tbl>
      <w:tblPr>
        <w:tblStyle w:val="14"/>
        <w:tblW w:w="0" w:type="auto"/>
        <w:jc w:val="center"/>
        <w:tblBorders>
          <w:top w:val="single" w:color="000000" w:sz="8" w:space="0"/>
          <w:left w:val="single" w:color="000000" w:sz="8" w:space="0"/>
          <w:bottom w:val="single" w:color="auto"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28"/>
      </w:tblGrid>
      <w:tr w14:paraId="3C50AAEA">
        <w:tblPrEx>
          <w:tblBorders>
            <w:top w:val="single" w:color="000000" w:sz="8" w:space="0"/>
            <w:left w:val="single" w:color="000000" w:sz="8" w:space="0"/>
            <w:bottom w:val="single" w:color="auto"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jc w:val="center"/>
        </w:trPr>
        <w:tc>
          <w:tcPr>
            <w:tcW w:w="8528" w:type="dxa"/>
            <w:tcMar>
              <w:top w:w="0" w:type="dxa"/>
              <w:left w:w="108" w:type="dxa"/>
              <w:bottom w:w="0" w:type="dxa"/>
              <w:right w:w="108" w:type="dxa"/>
            </w:tcMar>
          </w:tcPr>
          <w:p w14:paraId="296C0846">
            <w:pPr>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专栏2 </w:t>
            </w:r>
            <w:r>
              <w:rPr>
                <w:rFonts w:hint="default" w:ascii="Times New Roman" w:hAnsi="Times New Roman" w:eastAsia="黑体" w:cs="Times New Roman"/>
                <w:bCs/>
                <w:sz w:val="30"/>
                <w:szCs w:val="30"/>
              </w:rPr>
              <w:t>三大爆发型产业重点发展领域</w:t>
            </w:r>
          </w:p>
        </w:tc>
      </w:tr>
      <w:tr w14:paraId="5A431F7C">
        <w:tblPrEx>
          <w:tblBorders>
            <w:top w:val="single" w:color="000000" w:sz="8" w:space="0"/>
            <w:left w:val="single" w:color="000000" w:sz="8" w:space="0"/>
            <w:bottom w:val="single" w:color="auto"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28" w:type="dxa"/>
            <w:tcBorders>
              <w:bottom w:val="single" w:color="auto" w:sz="8" w:space="0"/>
            </w:tcBorders>
            <w:tcMar>
              <w:top w:w="0" w:type="dxa"/>
              <w:left w:w="108" w:type="dxa"/>
              <w:bottom w:w="0" w:type="dxa"/>
              <w:right w:w="108" w:type="dxa"/>
            </w:tcMar>
          </w:tcPr>
          <w:p w14:paraId="2BC497B9">
            <w:pPr>
              <w:pStyle w:val="25"/>
              <w:widowControl/>
              <w:numPr>
                <w:ilvl w:val="0"/>
                <w:numId w:val="4"/>
              </w:numPr>
              <w:tabs>
                <w:tab w:val="left" w:pos="0"/>
              </w:tabs>
              <w:autoSpaceDE w:val="0"/>
              <w:spacing w:before="156" w:beforeLines="50" w:after="156" w:afterLines="50" w:line="400" w:lineRule="exact"/>
              <w:ind w:firstLineChars="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生物医药及医疗器械</w:t>
            </w:r>
          </w:p>
          <w:p w14:paraId="0E97DBB2">
            <w:pPr>
              <w:pStyle w:val="25"/>
              <w:widowControl/>
              <w:numPr>
                <w:ilvl w:val="0"/>
                <w:numId w:val="2"/>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生物制药。</w:t>
            </w:r>
            <w:r>
              <w:rPr>
                <w:rFonts w:hint="default" w:ascii="Times New Roman" w:hAnsi="Times New Roman" w:eastAsia="仿宋_GB2312" w:cs="Times New Roman"/>
                <w:sz w:val="30"/>
                <w:szCs w:val="30"/>
              </w:rPr>
              <w:t>联合沃森等龙头企业建设疫苗产业园，搭建实验动物中心，重点培育疫苗、单抗、免疫球蛋白制品集群，加快推进在研产品研发和产业化进程，开展多联多价疫苗、基因工程疫苗等关键技术攻关，推进生物疫苗产品国际化认证，支持企业开拓国际市场。</w:t>
            </w:r>
          </w:p>
          <w:p w14:paraId="443F21A6">
            <w:pPr>
              <w:pStyle w:val="25"/>
              <w:widowControl/>
              <w:numPr>
                <w:ilvl w:val="0"/>
                <w:numId w:val="2"/>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现代中药。</w:t>
            </w:r>
            <w:r>
              <w:rPr>
                <w:rFonts w:hint="default" w:ascii="Times New Roman" w:hAnsi="Times New Roman" w:eastAsia="仿宋_GB2312" w:cs="Times New Roman"/>
                <w:sz w:val="30"/>
                <w:szCs w:val="30"/>
              </w:rPr>
              <w:t>支持维和药业、玉药生物、红云制药等企业加强与高校院所联合创新，加强产品上市后工艺与质量标准提升研究，进一步壮大发展心脑血管疾病、跌打损伤、祛风除湿、感冒消炎、补血养血等领域的中药产品。</w:t>
            </w:r>
          </w:p>
          <w:p w14:paraId="4BBBCFDF">
            <w:pPr>
              <w:pStyle w:val="25"/>
              <w:widowControl/>
              <w:numPr>
                <w:ilvl w:val="0"/>
                <w:numId w:val="2"/>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绿色健康食品及保健品。</w:t>
            </w:r>
            <w:r>
              <w:rPr>
                <w:rFonts w:hint="default" w:ascii="Times New Roman" w:hAnsi="Times New Roman" w:eastAsia="仿宋_GB2312" w:cs="Times New Roman"/>
                <w:sz w:val="30"/>
                <w:szCs w:val="30"/>
              </w:rPr>
              <w:t>紧抓云南省打造</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绿色食品牌</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机遇，鼓励达利、猫哆哩、贡润祥等龙头企业进一步开发高附加值、深加工高原绿色新产品，支持健坤生物加大对废弃烟草的深度利用，延伸发展以辅酶Q10、维生素K2等为主要原料的功能保健品和日化品。</w:t>
            </w:r>
          </w:p>
          <w:p w14:paraId="2B2F9435">
            <w:pPr>
              <w:pStyle w:val="25"/>
              <w:widowControl/>
              <w:numPr>
                <w:ilvl w:val="0"/>
                <w:numId w:val="2"/>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医疗器械。</w:t>
            </w:r>
            <w:r>
              <w:rPr>
                <w:rFonts w:hint="default" w:ascii="Times New Roman" w:hAnsi="Times New Roman" w:eastAsia="仿宋_GB2312" w:cs="Times New Roman"/>
                <w:sz w:val="30"/>
                <w:szCs w:val="30"/>
              </w:rPr>
              <w:t>谋划打造高端医疗器械产业园，加快引进一批医疗器械企业，重点发展体外诊断产品、家庭医疗监测和健康装备、可穿戴诊断设备、康复辅具等产品。</w:t>
            </w:r>
          </w:p>
          <w:p w14:paraId="3F6BC1DF">
            <w:pPr>
              <w:pStyle w:val="25"/>
              <w:widowControl/>
              <w:numPr>
                <w:ilvl w:val="0"/>
                <w:numId w:val="2"/>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其他领域。</w:t>
            </w:r>
            <w:r>
              <w:rPr>
                <w:rFonts w:hint="default" w:ascii="Times New Roman" w:hAnsi="Times New Roman" w:eastAsia="仿宋_GB2312" w:cs="Times New Roman"/>
                <w:sz w:val="30"/>
                <w:szCs w:val="30"/>
              </w:rPr>
              <w:t>把握仿制药一致性评价等医药改革机遇，适时布局心脑血管、肿瘤、糖尿病等领域的仿制药生产；发挥玉溪生态优势，积极培育康复疗养、健康养老等健康服务。</w:t>
            </w:r>
          </w:p>
          <w:p w14:paraId="1558007D">
            <w:pPr>
              <w:pStyle w:val="25"/>
              <w:widowControl/>
              <w:numPr>
                <w:ilvl w:val="0"/>
                <w:numId w:val="4"/>
              </w:numPr>
              <w:tabs>
                <w:tab w:val="left" w:pos="0"/>
              </w:tabs>
              <w:autoSpaceDE w:val="0"/>
              <w:spacing w:before="156" w:beforeLines="50" w:after="156" w:afterLines="50" w:line="400" w:lineRule="exact"/>
              <w:ind w:firstLineChars="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数字经济</w:t>
            </w:r>
          </w:p>
          <w:p w14:paraId="09D60410">
            <w:pPr>
              <w:pStyle w:val="25"/>
              <w:widowControl/>
              <w:numPr>
                <w:ilvl w:val="0"/>
                <w:numId w:val="3"/>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电子信息制造。</w:t>
            </w:r>
            <w:r>
              <w:rPr>
                <w:rFonts w:hint="default" w:ascii="Times New Roman" w:hAnsi="Times New Roman" w:eastAsia="仿宋_GB2312" w:cs="Times New Roman"/>
                <w:sz w:val="30"/>
                <w:szCs w:val="30"/>
              </w:rPr>
              <w:t>依托天合力、天宇科技等企业，巩固发展光电子配套设备、电子元器件、光学仪器设备等产品，延伸发展RFID、传感器、基站天线、天线射频等产品。</w:t>
            </w:r>
          </w:p>
          <w:p w14:paraId="46309A92">
            <w:pPr>
              <w:pStyle w:val="25"/>
              <w:widowControl/>
              <w:numPr>
                <w:ilvl w:val="0"/>
                <w:numId w:val="3"/>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数字服务。</w:t>
            </w:r>
            <w:r>
              <w:rPr>
                <w:rFonts w:hint="default" w:ascii="Times New Roman" w:hAnsi="Times New Roman" w:eastAsia="仿宋_GB2312" w:cs="Times New Roman"/>
                <w:sz w:val="30"/>
                <w:szCs w:val="30"/>
              </w:rPr>
              <w:t>依托华为玉溪云计算数据中心、云南联通云计算数据中心，招引大数据分析与服务、大数据融合应用等企业，完善大数据产业链条。重点围绕工业、政务服务、交通、医疗、城市治理等领域，部署实施一批大数据、云服务应用示范项目，加快推进</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4351</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网络安全产业项目建设。</w:t>
            </w:r>
          </w:p>
          <w:p w14:paraId="6453048D">
            <w:pPr>
              <w:pStyle w:val="25"/>
              <w:widowControl/>
              <w:numPr>
                <w:ilvl w:val="0"/>
                <w:numId w:val="3"/>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其他领域。</w:t>
            </w:r>
            <w:r>
              <w:rPr>
                <w:rFonts w:hint="default" w:ascii="Times New Roman" w:hAnsi="Times New Roman" w:eastAsia="仿宋_GB2312" w:cs="Times New Roman"/>
                <w:sz w:val="30"/>
                <w:szCs w:val="30"/>
              </w:rPr>
              <w:t>结合产业智能化、数字化转型需求，积极布局工业互联网，以试点打造</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智慧工厂</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促进工业传感、智能控制、工业软件等信息技术和产品应用。</w:t>
            </w:r>
          </w:p>
          <w:p w14:paraId="16C29371">
            <w:pPr>
              <w:pStyle w:val="25"/>
              <w:widowControl/>
              <w:numPr>
                <w:ilvl w:val="0"/>
                <w:numId w:val="4"/>
              </w:numPr>
              <w:tabs>
                <w:tab w:val="left" w:pos="0"/>
              </w:tabs>
              <w:autoSpaceDE w:val="0"/>
              <w:spacing w:before="156" w:beforeLines="50" w:after="156" w:afterLines="50" w:line="400" w:lineRule="exact"/>
              <w:ind w:firstLineChars="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新能源新材料</w:t>
            </w:r>
          </w:p>
          <w:p w14:paraId="3622D63A">
            <w:pPr>
              <w:pStyle w:val="25"/>
              <w:widowControl/>
              <w:numPr>
                <w:ilvl w:val="0"/>
                <w:numId w:val="3"/>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新能源材料。</w:t>
            </w:r>
            <w:r>
              <w:rPr>
                <w:rFonts w:hint="default" w:ascii="Times New Roman" w:hAnsi="Times New Roman" w:eastAsia="仿宋_GB2312" w:cs="Times New Roman"/>
                <w:sz w:val="30"/>
                <w:szCs w:val="30"/>
              </w:rPr>
              <w:t>谋划打造新能源新材料产业园，加快推动华电达动力电池等项目落地投产，进一步加大精准招商力度，补齐产业链环节，大力发展锂金属新材料、锂电池及材料、电池梯次利用等环节。积极与省内外高校和科研机构建立合作，加快建设新能源产业技术研究院、电池检测中心、先进锂电池联合实验室等产业技术创新平台，聚集高层次专业技术人才，强化锂矿资源开发。</w:t>
            </w:r>
          </w:p>
          <w:p w14:paraId="1790E3A1">
            <w:pPr>
              <w:pStyle w:val="25"/>
              <w:widowControl/>
              <w:numPr>
                <w:ilvl w:val="0"/>
                <w:numId w:val="3"/>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光电子材料。</w:t>
            </w:r>
            <w:r>
              <w:rPr>
                <w:rFonts w:hint="default" w:ascii="Times New Roman" w:hAnsi="Times New Roman" w:eastAsia="仿宋_GB2312" w:cs="Times New Roman"/>
                <w:sz w:val="30"/>
                <w:szCs w:val="30"/>
              </w:rPr>
              <w:t>依托蓝晶科技LED蓝宝石衬底基片研发和生产基础，加大产业链精准招商，延伸外延、芯片制造、封装等下游环节，集聚照明灯具、大屏幕显示等应用企业，加快打造光电子产业园，推动产业集群化发展。</w:t>
            </w:r>
          </w:p>
        </w:tc>
      </w:tr>
    </w:tbl>
    <w:p w14:paraId="231092D7">
      <w:pPr>
        <w:rPr>
          <w:rFonts w:hint="default" w:ascii="Times New Roman" w:hAnsi="Times New Roman" w:cs="Times New Roman"/>
        </w:rPr>
      </w:pPr>
    </w:p>
    <w:p w14:paraId="048363F0">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szCs w:val="32"/>
        </w:rPr>
        <w:t>夯实发展支撑型产业。</w:t>
      </w:r>
      <w:r>
        <w:rPr>
          <w:rFonts w:hint="default" w:ascii="Times New Roman" w:hAnsi="Times New Roman" w:eastAsia="仿宋_GB2312" w:cs="Times New Roman"/>
          <w:sz w:val="32"/>
          <w:szCs w:val="32"/>
        </w:rPr>
        <w:t>立足玉溪区位和生态资源优势，以区域产业升级需求为导向，夯实现代服务业支撑作用，重点发展现代物流和电子商务领域，积极培育科技服务领域，推动园区服务专业化、高端化、品质化发展。</w:t>
      </w:r>
      <w:r>
        <w:rPr>
          <w:rFonts w:hint="default" w:ascii="Times New Roman" w:hAnsi="Times New Roman" w:eastAsia="仿宋_GB2312" w:cs="Times New Roman"/>
          <w:sz w:val="32"/>
        </w:rPr>
        <w:t>力争到2025年，实现主营业务收入400亿元。</w:t>
      </w:r>
    </w:p>
    <w:tbl>
      <w:tblPr>
        <w:tblStyle w:val="14"/>
        <w:tblW w:w="0" w:type="auto"/>
        <w:jc w:val="center"/>
        <w:tblBorders>
          <w:top w:val="single" w:color="000000" w:sz="8" w:space="0"/>
          <w:left w:val="single" w:color="000000" w:sz="8" w:space="0"/>
          <w:bottom w:val="single" w:color="auto"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28"/>
      </w:tblGrid>
      <w:tr w14:paraId="14727B75">
        <w:tblPrEx>
          <w:tblBorders>
            <w:top w:val="single" w:color="000000" w:sz="8" w:space="0"/>
            <w:left w:val="single" w:color="000000" w:sz="8" w:space="0"/>
            <w:bottom w:val="single" w:color="auto" w:sz="8" w:space="0"/>
            <w:right w:val="single" w:color="000000" w:sz="8" w:space="0"/>
            <w:insideH w:val="single" w:color="000000" w:sz="8" w:space="0"/>
            <w:insideV w:val="single" w:color="000000" w:sz="8" w:space="0"/>
          </w:tblBorders>
        </w:tblPrEx>
        <w:trPr>
          <w:trHeight w:val="448" w:hRule="atLeast"/>
          <w:jc w:val="center"/>
        </w:trPr>
        <w:tc>
          <w:tcPr>
            <w:tcW w:w="8528" w:type="dxa"/>
            <w:tcMar>
              <w:top w:w="0" w:type="dxa"/>
              <w:left w:w="108" w:type="dxa"/>
              <w:bottom w:w="0" w:type="dxa"/>
              <w:right w:w="108" w:type="dxa"/>
            </w:tcMar>
          </w:tcPr>
          <w:p w14:paraId="4328A8FD">
            <w:pPr>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 xml:space="preserve">专栏3 </w:t>
            </w:r>
            <w:r>
              <w:rPr>
                <w:rFonts w:hint="default" w:ascii="Times New Roman" w:hAnsi="Times New Roman" w:eastAsia="黑体" w:cs="Times New Roman"/>
                <w:bCs/>
                <w:sz w:val="30"/>
                <w:szCs w:val="30"/>
              </w:rPr>
              <w:t>支撑型产业重点发展领域</w:t>
            </w:r>
          </w:p>
        </w:tc>
      </w:tr>
      <w:tr w14:paraId="66BBAFB0">
        <w:tblPrEx>
          <w:tblBorders>
            <w:top w:val="single" w:color="000000" w:sz="8" w:space="0"/>
            <w:left w:val="single" w:color="000000" w:sz="8" w:space="0"/>
            <w:bottom w:val="single" w:color="auto"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28" w:type="dxa"/>
            <w:tcBorders>
              <w:bottom w:val="single" w:color="auto" w:sz="8" w:space="0"/>
            </w:tcBorders>
            <w:tcMar>
              <w:top w:w="0" w:type="dxa"/>
              <w:left w:w="108" w:type="dxa"/>
              <w:bottom w:w="0" w:type="dxa"/>
              <w:right w:w="108" w:type="dxa"/>
            </w:tcMar>
          </w:tcPr>
          <w:p w14:paraId="6B8BCE78">
            <w:pPr>
              <w:pStyle w:val="25"/>
              <w:widowControl/>
              <w:numPr>
                <w:ilvl w:val="0"/>
                <w:numId w:val="5"/>
              </w:numPr>
              <w:tabs>
                <w:tab w:val="left" w:pos="0"/>
              </w:tabs>
              <w:autoSpaceDE w:val="0"/>
              <w:spacing w:before="156" w:beforeLines="50" w:after="156" w:afterLines="50" w:line="400" w:lineRule="exact"/>
              <w:ind w:firstLineChars="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现代服务业</w:t>
            </w:r>
          </w:p>
          <w:p w14:paraId="4F42FEFC">
            <w:pPr>
              <w:pStyle w:val="25"/>
              <w:widowControl/>
              <w:numPr>
                <w:ilvl w:val="0"/>
                <w:numId w:val="2"/>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现代物流。</w:t>
            </w:r>
            <w:r>
              <w:rPr>
                <w:rFonts w:hint="default" w:ascii="Times New Roman" w:hAnsi="Times New Roman" w:eastAsia="仿宋_GB2312" w:cs="Times New Roman"/>
                <w:sz w:val="30"/>
                <w:szCs w:val="30"/>
              </w:rPr>
              <w:t>以中国西南·玉溪国际物流港、江川空港物流枢纽等重大项目建设为突破口，重点发展保税物流、仓储物流，规划布局航空物流，发展供应链物流、智慧物流新业态，提升物流运输效率和服务水平。</w:t>
            </w:r>
          </w:p>
          <w:p w14:paraId="57A9C7EA">
            <w:pPr>
              <w:pStyle w:val="25"/>
              <w:widowControl/>
              <w:numPr>
                <w:ilvl w:val="0"/>
                <w:numId w:val="2"/>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电子商务。</w:t>
            </w:r>
            <w:r>
              <w:rPr>
                <w:rFonts w:hint="default" w:ascii="Times New Roman" w:hAnsi="Times New Roman" w:eastAsia="仿宋_GB2312" w:cs="Times New Roman"/>
                <w:sz w:val="30"/>
                <w:szCs w:val="30"/>
              </w:rPr>
              <w:t>充分发挥京东平台引领作用，面向两亚市场，重点发展跨境电商、特色产品大宗交易等专业领域垂直电商及电商服务外包、结算中心等电商运营服务，探索直播带货等在线新经济模式。</w:t>
            </w:r>
          </w:p>
          <w:p w14:paraId="1DD39439">
            <w:pPr>
              <w:pStyle w:val="25"/>
              <w:widowControl/>
              <w:numPr>
                <w:ilvl w:val="0"/>
                <w:numId w:val="2"/>
              </w:numPr>
              <w:tabs>
                <w:tab w:val="left" w:pos="0"/>
              </w:tabs>
              <w:autoSpaceDE w:val="0"/>
              <w:spacing w:before="156" w:beforeLines="50" w:after="156" w:afterLines="50" w:line="400" w:lineRule="exact"/>
              <w:ind w:left="0" w:firstLine="420" w:firstLineChars="0"/>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科技服务。</w:t>
            </w:r>
            <w:r>
              <w:rPr>
                <w:rFonts w:hint="default" w:ascii="Times New Roman" w:hAnsi="Times New Roman" w:eastAsia="仿宋_GB2312" w:cs="Times New Roman"/>
                <w:sz w:val="30"/>
                <w:szCs w:val="30"/>
              </w:rPr>
              <w:t>围绕园区企业创新发展需求，重点发展科技成果转化、科技金融、检验检测、孵化服务等领域，集聚和培育一批专业化、市场化服务机构和高素质科技服务人才队伍，提升对企业科技创新的服务支撑能力。</w:t>
            </w:r>
          </w:p>
        </w:tc>
      </w:tr>
    </w:tbl>
    <w:p w14:paraId="4D1DAA94">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37" w:name="_Toc67935916"/>
      <w:r>
        <w:rPr>
          <w:rFonts w:hint="default" w:ascii="Times New Roman" w:hAnsi="Times New Roman" w:eastAsia="楷体_GB2312" w:cs="Times New Roman"/>
          <w:bCs w:val="0"/>
          <w:color w:val="000000" w:themeColor="text1"/>
          <w14:textFill>
            <w14:solidFill>
              <w14:schemeClr w14:val="tx1"/>
            </w14:solidFill>
          </w14:textFill>
        </w:rPr>
        <w:t>2.部署新经济应用场景</w:t>
      </w:r>
      <w:bookmarkEnd w:id="37"/>
    </w:p>
    <w:p w14:paraId="47C9F468">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rPr>
        <w:t>搭建特色应用场景。</w:t>
      </w:r>
      <w:r>
        <w:rPr>
          <w:rFonts w:hint="default" w:ascii="Times New Roman" w:hAnsi="Times New Roman" w:eastAsia="仿宋_GB2312" w:cs="Times New Roman"/>
          <w:sz w:val="32"/>
        </w:rPr>
        <w:t>重点围绕智能工厂、智慧物流、智慧交通等领域，建设一批创新应用场景，</w:t>
      </w:r>
      <w:r>
        <w:rPr>
          <w:rFonts w:hint="default" w:ascii="Times New Roman" w:hAnsi="Times New Roman" w:eastAsia="仿宋_GB2312" w:cs="Times New Roman"/>
          <w:sz w:val="32"/>
          <w:szCs w:val="32"/>
        </w:rPr>
        <w:t>推动创新主体和服务资源融通聚合，为创新成果提供更开放、更便捷、更高效的应用空间。打造智能工厂场景，支持数控机床、装备制造等领域龙头企业打造智能工厂试点，重点推动柔性定制模式、工业互联网等新模式、新技术的集成应用。打造智慧物流场景，支持园区物流企业打造无人物流仓库试点，推动机器视觉技术、智能精准感知与操控等人工智能技术示范应用。打造智慧交通场景，围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车-路-网-云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高效协同，规划建设一批交通示范站和标杆街区路段，推动城市大脑、智能停车、新能源设施等解决方案应用，探索城市交通的智能化、绿色化、共享化发展路径。</w:t>
      </w:r>
    </w:p>
    <w:p w14:paraId="3828BB8B">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建立多方参与的场景建设机制。</w:t>
      </w:r>
      <w:r>
        <w:rPr>
          <w:rFonts w:hint="default" w:ascii="Times New Roman" w:hAnsi="Times New Roman" w:eastAsia="仿宋_GB2312" w:cs="Times New Roman"/>
          <w:sz w:val="32"/>
          <w:szCs w:val="32"/>
        </w:rPr>
        <w:t>坚持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政府搭台、企业主导、多方参与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，与园区企业、专业智库等共同梳理设计场景机会，构建场景需求方、技术方案供给方、政府、智库等多方参与的场景组织方式。加强新技术新产品新场景供需对接，建立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场景需求分析-场景资源征集-城市场景机会设计-机会清单发布、企业对接与甄选-场景项目签约落地-项目支持与跟踪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工作流程。争取上级支持，联合市发改、科技、工信等部门，在场景数据开放、政府采购、试点示范等方面给予支持。</w:t>
      </w:r>
    </w:p>
    <w:p w14:paraId="0FE8D4B3">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38" w:name="_Toc67935917"/>
      <w:r>
        <w:rPr>
          <w:rFonts w:hint="default" w:ascii="Times New Roman" w:hAnsi="Times New Roman" w:eastAsia="楷体_GB2312" w:cs="Times New Roman"/>
          <w:bCs w:val="0"/>
          <w:color w:val="000000" w:themeColor="text1"/>
          <w14:textFill>
            <w14:solidFill>
              <w14:schemeClr w14:val="tx1"/>
            </w14:solidFill>
          </w14:textFill>
        </w:rPr>
        <w:t>3.全力培育创新型企业群落</w:t>
      </w:r>
      <w:bookmarkEnd w:id="38"/>
    </w:p>
    <w:p w14:paraId="7167A5EB">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加大高新技术企业培育力度。</w:t>
      </w:r>
      <w:r>
        <w:rPr>
          <w:rFonts w:hint="default" w:ascii="Times New Roman" w:hAnsi="Times New Roman" w:eastAsia="仿宋_GB2312" w:cs="Times New Roman"/>
          <w:sz w:val="32"/>
        </w:rPr>
        <w:t>建立高新技术企业培育后备库，围绕主导产业领域，遴选一批技术水平高、成长性强、市场前景好的科技型企业进行重点培育。加大对入库企业的奖励和支持力度，在研发经费扣除、科技项目申报、科技创新研发平台搭建、政府购买、知识产权服务、申请认定省级或国家级重点新产品等方面给予重点扶持。委托第三方专业机构，参与高新技术企业培育全流程，为企业提供高企培训、高企培育、高企认定、高企资助申报等相关服务，加快壮大高新技术企业集群。</w:t>
      </w:r>
    </w:p>
    <w:p w14:paraId="5BACBEB1">
      <w:pPr>
        <w:spacing w:line="560" w:lineRule="exact"/>
        <w:ind w:firstLine="643" w:firstLineChars="200"/>
        <w:rPr>
          <w:rFonts w:hint="default" w:ascii="Times New Roman" w:hAnsi="Times New Roman" w:eastAsia="仿宋_GB2312" w:cs="Times New Roman"/>
          <w:b/>
          <w:sz w:val="32"/>
        </w:rPr>
      </w:pPr>
      <w:r>
        <w:rPr>
          <w:rFonts w:hint="default" w:ascii="Times New Roman" w:hAnsi="Times New Roman" w:eastAsia="仿宋_GB2312" w:cs="Times New Roman"/>
          <w:b/>
          <w:sz w:val="32"/>
        </w:rPr>
        <w:t>吸引集聚高成长企业。</w:t>
      </w:r>
      <w:r>
        <w:rPr>
          <w:rFonts w:hint="default" w:ascii="Times New Roman" w:hAnsi="Times New Roman" w:eastAsia="仿宋_GB2312" w:cs="Times New Roman"/>
          <w:sz w:val="32"/>
        </w:rPr>
        <w:t>建立瞪羚企业库，从行业领域、发展速度、创新能力、发展潜力等维度，联合第三方专业机构，遴选一批潜在瞪羚企业。制定完善高新区瞪羚企业认定及培育办法，设立专项扶持资金，在企业研发投入、人才引进、并购融资、国际市场拓展等方面对入库企业进行资金补贴。联合第三方机构，发布玉溪高新区新经济应用场景机会清单，重点对接北京、上海、深圳等地独角兽企业，吸引其在高新区进行业务布局、设立分支机构，加快培育和壮大高成长企业队伍。</w:t>
      </w:r>
    </w:p>
    <w:p w14:paraId="35936E60">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强化龙头企业培育。</w:t>
      </w:r>
      <w:r>
        <w:rPr>
          <w:rFonts w:hint="default" w:ascii="Times New Roman" w:hAnsi="Times New Roman" w:eastAsia="仿宋_GB2312" w:cs="Times New Roman"/>
          <w:sz w:val="32"/>
        </w:rPr>
        <w:t>建设高新区龙头企业培育库，根据入库企业实际情况给予</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一企一策</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精准扶持。针对企业发展需求，提供政策咨询、法规培训、投资基金引入等相关服务，鼓励企业在创投机构、境内外证券市场等多层次资本市场融资。支持龙头企业优先申报国家省市各类科技计划项目和平台建设任务，开展行业关键核心技术突破，参与国家、行业标准制定。鼓励企业通过协同创新、协同生产、内部衍生、专业孵化等方式实现平台化转型，建立大中小企业协同发展生态圈。</w:t>
      </w:r>
    </w:p>
    <w:p w14:paraId="20282470">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39" w:name="_Toc67935918"/>
      <w:r>
        <w:rPr>
          <w:rFonts w:hint="default" w:ascii="Times New Roman" w:hAnsi="Times New Roman" w:eastAsia="楷体_GB2312" w:cs="Times New Roman"/>
          <w:bCs w:val="0"/>
          <w:color w:val="000000" w:themeColor="text1"/>
          <w14:textFill>
            <w14:solidFill>
              <w14:schemeClr w14:val="tx1"/>
            </w14:solidFill>
          </w14:textFill>
        </w:rPr>
        <w:t>4.强化产业链延链、补链、强链</w:t>
      </w:r>
      <w:bookmarkEnd w:id="39"/>
    </w:p>
    <w:p w14:paraId="4A5A2122">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围绕产业链供应链安全、自主可控，探索实施产业链</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链长制</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由高新区领导担任链长，梳理生物医药及医疗器械、先进装备制造、新能源新材料等重点产业链发展现状，全面掌握产业链重点企业、重点项目、重点平台、关键共性技术、制约瓶颈等情况。实施产业链图、技术路线图、应用领域图、区域分布图</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四图</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作业，研究制定做优做强做大产业链工作计划，统筹推进产业链企业发展、招商引资、项目建设、人才引进、技术创新等重大事项。搭建产业链大数据平台，充分运用大数据、互联网等技术，加强产业链精细化管理，推进数据资源在产业动态监测、精准招商、资源靶向对接等方面的应用，增强产业链各企业间信息互通和高效协同。</w:t>
      </w:r>
    </w:p>
    <w:p w14:paraId="32FFF06B">
      <w:pPr>
        <w:pStyle w:val="3"/>
        <w:widowControl/>
        <w:spacing w:before="156" w:beforeLines="50" w:after="156" w:afterLines="50" w:line="52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40" w:name="_Toc67935919"/>
      <w:r>
        <w:rPr>
          <w:rFonts w:hint="default" w:ascii="Times New Roman" w:hAnsi="Times New Roman" w:eastAsia="黑体" w:cs="Times New Roman"/>
          <w:b w:val="0"/>
          <w:bCs w:val="0"/>
          <w:color w:val="000000" w:themeColor="text1"/>
          <w14:textFill>
            <w14:solidFill>
              <w14:schemeClr w14:val="tx1"/>
            </w14:solidFill>
          </w14:textFill>
        </w:rPr>
        <w:t>（二）</w:t>
      </w:r>
      <w:bookmarkStart w:id="41" w:name="_Hlk43824021"/>
      <w:r>
        <w:rPr>
          <w:rFonts w:hint="default" w:ascii="Times New Roman" w:hAnsi="Times New Roman" w:eastAsia="黑体" w:cs="Times New Roman"/>
          <w:b w:val="0"/>
          <w:bCs w:val="0"/>
          <w:color w:val="000000" w:themeColor="text1"/>
          <w14:textFill>
            <w14:solidFill>
              <w14:schemeClr w14:val="tx1"/>
            </w14:solidFill>
          </w14:textFill>
        </w:rPr>
        <w:t>完善高水平双创生态</w:t>
      </w:r>
      <w:bookmarkEnd w:id="41"/>
      <w:r>
        <w:rPr>
          <w:rFonts w:hint="default" w:ascii="Times New Roman" w:hAnsi="Times New Roman" w:eastAsia="黑体" w:cs="Times New Roman"/>
          <w:b w:val="0"/>
          <w:bCs w:val="0"/>
          <w:color w:val="000000" w:themeColor="text1"/>
          <w14:textFill>
            <w14:solidFill>
              <w14:schemeClr w14:val="tx1"/>
            </w14:solidFill>
          </w14:textFill>
        </w:rPr>
        <w:t>，积蓄发展新动能</w:t>
      </w:r>
      <w:bookmarkEnd w:id="40"/>
    </w:p>
    <w:p w14:paraId="5EBA4E12">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突出创新在高新区建设全局中的核心地位，加快集聚创新资源要素，建设高水平科技创新平台，打造专业化创业孵化载体，引聚与产业、创新发展相匹配的各类人才，强化科技金融、科技成果转化等科技服务体系支撑，不断完善创新创业生态，加速实现科技自立自强。</w:t>
      </w:r>
    </w:p>
    <w:p w14:paraId="7430EEE2">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42" w:name="_Toc67935920"/>
      <w:r>
        <w:rPr>
          <w:rFonts w:hint="default" w:ascii="Times New Roman" w:hAnsi="Times New Roman" w:eastAsia="楷体_GB2312" w:cs="Times New Roman"/>
          <w:bCs w:val="0"/>
          <w:color w:val="000000" w:themeColor="text1"/>
          <w14:textFill>
            <w14:solidFill>
              <w14:schemeClr w14:val="tx1"/>
            </w14:solidFill>
          </w14:textFill>
        </w:rPr>
        <w:t>1.建设高能级研发创新平台</w:t>
      </w:r>
      <w:bookmarkEnd w:id="42"/>
    </w:p>
    <w:p w14:paraId="66959DEC">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建设一批高水平新型研发机构。</w:t>
      </w:r>
      <w:r>
        <w:rPr>
          <w:rFonts w:hint="default" w:ascii="Times New Roman" w:hAnsi="Times New Roman" w:eastAsia="仿宋_GB2312" w:cs="Times New Roman"/>
          <w:sz w:val="32"/>
        </w:rPr>
        <w:t>加快建设新型研发机构，为高新区创新发展提供前沿技术、高端人才、科技型企业和新兴产业供给源头，构建从原始创新到产业化的全创新链布局。充分发挥数控机械研究院、同济大学玉溪智能制造研究院作用，挖掘高新区制造企业智能化升级、智能制造人才培养等需求，发挥同济大学人才、技术、设备等优势，助力高新区制造业转型升级。加快推动新能源产业技术研究院落地，对研究院在研发用地、平台搭建、人才引进等方面给予相关政策扶持。积极对接</w:t>
      </w:r>
      <w:r>
        <w:rPr>
          <w:rFonts w:hint="default" w:ascii="Times New Roman" w:hAnsi="Times New Roman" w:eastAsia="仿宋_GB2312" w:cs="Times New Roman"/>
          <w:kern w:val="0"/>
          <w:sz w:val="32"/>
          <w:szCs w:val="30"/>
        </w:rPr>
        <w:t>云南省科学技术院、昆明医学生物学研究所、兰州生物制品研究所、华中科技大学</w:t>
      </w:r>
      <w:r>
        <w:rPr>
          <w:rFonts w:hint="default" w:ascii="Times New Roman" w:hAnsi="Times New Roman" w:eastAsia="仿宋_GB2312" w:cs="Times New Roman"/>
          <w:sz w:val="32"/>
        </w:rPr>
        <w:t>等省内外高校院所，联合区内龙头企业，筹建生物医药、数控机床两大产业技术研究院。采取多元化投入、企业化管理、市场化运作、开放式发展、灵活化薪酬的运行机制，搭建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应用研究-技术开发-产业化应用-企业孵化</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一体化的科技创新链条，提供共性及关键技术研发、应用型技术创新、检验检测、产业咨询等服务。</w:t>
      </w:r>
    </w:p>
    <w:p w14:paraId="46493217">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强化企业创新主体地位。</w:t>
      </w:r>
      <w:r>
        <w:rPr>
          <w:rFonts w:hint="default" w:ascii="Times New Roman" w:hAnsi="Times New Roman" w:eastAsia="仿宋_GB2312" w:cs="Times New Roman"/>
          <w:sz w:val="32"/>
        </w:rPr>
        <w:t>鼓励企业持续加大研发投入，推动市级、省级企业技术中心、工程技术中心升级为省级、国家级平台，引导区内未建研发机构和无科技活动的中小企业开展研发平台创建工作。支持企业深化产学研合作，探索与高校院所开展技术入股、平台共建、设备共享等合作模式，进一步提升企业创新能力和创新水平。鼓励龙头企业牵头承担国家重大科技专项，实施国家、省、市重大科技产业化项目，在行业共性技术、关键装备与工艺的研发攻关中发挥主导作用。</w:t>
      </w:r>
    </w:p>
    <w:p w14:paraId="4CE5875C">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43" w:name="_Toc67935921"/>
      <w:r>
        <w:rPr>
          <w:rFonts w:hint="default" w:ascii="Times New Roman" w:hAnsi="Times New Roman" w:eastAsia="楷体_GB2312" w:cs="Times New Roman"/>
          <w:bCs w:val="0"/>
          <w:color w:val="000000" w:themeColor="text1"/>
          <w14:textFill>
            <w14:solidFill>
              <w14:schemeClr w14:val="tx1"/>
            </w14:solidFill>
          </w14:textFill>
        </w:rPr>
        <w:t>2.以建设国家级孵化器引领双创升级</w:t>
      </w:r>
      <w:bookmarkEnd w:id="43"/>
    </w:p>
    <w:p w14:paraId="0EA8AE2E">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提升双创服务能力。</w:t>
      </w:r>
      <w:r>
        <w:rPr>
          <w:rFonts w:hint="default" w:ascii="Times New Roman" w:hAnsi="Times New Roman" w:eastAsia="仿宋_GB2312" w:cs="Times New Roman"/>
          <w:sz w:val="32"/>
        </w:rPr>
        <w:t>以国家级孵化载体建设为重点，围绕云科玉溪高新区科技企业孵化器、启迪众创园等有潜力的孵化载体开展精准扶持，通过搭建智慧服务平台、公共技术平台以及设立创业孵化基金等方式，弥补研发平台建设不足、投资基金缺乏等薄弱环节，提升专业化管理服务水平，争取在1-2年内升级为国家级孵化载体。加快完善并落实高新区孵化载体考核管理办法，从服务能力、孵化绩效、社会贡献等角度，综合评估孵化载体运营状况及运营团队管理水平，对考核优秀的载体及团队进行表彰和奖励，促进双创服务水平提升。</w:t>
      </w:r>
    </w:p>
    <w:p w14:paraId="5D8512B7">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建设一批专业化孵化载体。</w:t>
      </w:r>
      <w:r>
        <w:rPr>
          <w:rFonts w:hint="default" w:ascii="Times New Roman" w:hAnsi="Times New Roman" w:eastAsia="仿宋_GB2312" w:cs="Times New Roman"/>
          <w:sz w:val="32"/>
        </w:rPr>
        <w:t>聚焦生物医药及医疗器械、先进装备制造、新能源新材料、大数据等细分产业领域，支持区内龙头企业建设专业化众创空间和孵化器，整合产业链上下游资源，开展资源开放共享，为创业企业提供资金对接、研发设计、检验检测、产品试制、市场营销等一系列服务。引进国内外知名的专业化众创空间和孵化器，鼓励现有孵化载体专业化发展，提升专业细分领域创新创业效率，提高创业项目的产业集聚度。</w:t>
      </w:r>
    </w:p>
    <w:p w14:paraId="39E3E891">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营造创新创业氛围。</w:t>
      </w:r>
      <w:r>
        <w:rPr>
          <w:rFonts w:hint="default" w:ascii="Times New Roman" w:hAnsi="Times New Roman" w:eastAsia="仿宋_GB2312" w:cs="Times New Roman"/>
          <w:sz w:val="32"/>
        </w:rPr>
        <w:t>联合区内孵化载体，创办玉溪高新区创新创业节，开展创新创业故事会、创新创业路演剧场等主题活动，打造集创业展示、创意交流、经验分享和资源对接于一体的综合平台。争取承办中国创新创业大赛、云南省创新创业大赛、</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创客中国</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云南省中小企业创新创业大赛等各类国家级、省级双创赛事，持续扩大高新区双创活动影响力。加强对本地创业明星、创新成果、科技企业的宣传，营造包容失败、鼓励创新、支持创业的文化氛围。</w:t>
      </w:r>
    </w:p>
    <w:p w14:paraId="39B2735F">
      <w:pPr>
        <w:pStyle w:val="4"/>
        <w:spacing w:before="156" w:beforeLines="50" w:after="156" w:afterLines="50"/>
        <w:ind w:firstLine="640"/>
        <w:jc w:val="left"/>
        <w:rPr>
          <w:rFonts w:hint="eastAsia" w:ascii="Times New Roman" w:hAnsi="Times New Roman" w:eastAsia="楷体_GB2312" w:cs="Times New Roman"/>
          <w:bCs w:val="0"/>
          <w:color w:val="000000" w:themeColor="text1"/>
          <w:lang w:eastAsia="zh-CN"/>
          <w14:textFill>
            <w14:solidFill>
              <w14:schemeClr w14:val="tx1"/>
            </w14:solidFill>
          </w14:textFill>
        </w:rPr>
      </w:pPr>
      <w:bookmarkStart w:id="44" w:name="_Toc67935922"/>
      <w:r>
        <w:rPr>
          <w:rFonts w:hint="default" w:ascii="Times New Roman" w:hAnsi="Times New Roman" w:eastAsia="楷体_GB2312" w:cs="Times New Roman"/>
          <w:bCs w:val="0"/>
          <w:color w:val="000000" w:themeColor="text1"/>
          <w14:textFill>
            <w14:solidFill>
              <w14:schemeClr w14:val="tx1"/>
            </w14:solidFill>
          </w14:textFill>
        </w:rPr>
        <w:t>3.着力引培玉溪</w:t>
      </w:r>
      <w:r>
        <w:rPr>
          <w:rFonts w:hint="eastAsia" w:ascii="Times New Roman" w:hAnsi="Times New Roman" w:eastAsia="楷体_GB2312" w:cs="Times New Roman"/>
          <w:bCs w:val="0"/>
          <w:color w:val="000000" w:themeColor="text1"/>
          <w:lang w:eastAsia="zh-CN"/>
          <w14:textFill>
            <w14:solidFill>
              <w14:schemeClr w14:val="tx1"/>
            </w14:solidFill>
          </w14:textFill>
        </w:rPr>
        <w:t>“</w:t>
      </w:r>
      <w:r>
        <w:rPr>
          <w:rFonts w:hint="default" w:ascii="Times New Roman" w:hAnsi="Times New Roman" w:eastAsia="楷体_GB2312" w:cs="Times New Roman"/>
          <w:bCs w:val="0"/>
          <w:color w:val="000000" w:themeColor="text1"/>
          <w14:textFill>
            <w14:solidFill>
              <w14:schemeClr w14:val="tx1"/>
            </w14:solidFill>
          </w14:textFill>
        </w:rPr>
        <w:t>创新合伙人</w:t>
      </w:r>
      <w:bookmarkEnd w:id="44"/>
      <w:r>
        <w:rPr>
          <w:rFonts w:hint="eastAsia" w:ascii="Times New Roman" w:hAnsi="Times New Roman" w:eastAsia="楷体_GB2312" w:cs="Times New Roman"/>
          <w:bCs w:val="0"/>
          <w:color w:val="000000" w:themeColor="text1"/>
          <w:lang w:eastAsia="zh-CN"/>
          <w14:textFill>
            <w14:solidFill>
              <w14:schemeClr w14:val="tx1"/>
            </w14:solidFill>
          </w14:textFill>
        </w:rPr>
        <w:t>”</w:t>
      </w:r>
    </w:p>
    <w:p w14:paraId="5C98EF6D">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积极开展柔性引才。</w:t>
      </w:r>
      <w:r>
        <w:rPr>
          <w:rFonts w:hint="default" w:ascii="Times New Roman" w:hAnsi="Times New Roman" w:eastAsia="仿宋_GB2312" w:cs="Times New Roman"/>
          <w:sz w:val="32"/>
        </w:rPr>
        <w:t>依托云南省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云岭英才计划</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、玉溪市</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兴玉英才计划</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等政策，研究制定玉溪高新区柔性引进高层次急需紧缺人才办法，采取挂职、兼职、担任荣誉职务等方式，集中引进一批高层次紧缺人才。进一步支持企业建设院士专家工作站、博士后工作站等高层次人才集聚平台，加大对工作站的政策支持力度。依托各企业的院士工作站，组织开展</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院士专家行</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等活动，通过项目合作、</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候鸟工程</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季度专家</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科技特派员</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等方式，柔性引进科技领军人才、高层次创新创业团队。</w:t>
      </w:r>
    </w:p>
    <w:p w14:paraId="6D0C6469">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大力培育高技能人才。</w:t>
      </w:r>
      <w:r>
        <w:rPr>
          <w:rFonts w:hint="default" w:ascii="Times New Roman" w:hAnsi="Times New Roman" w:eastAsia="仿宋_GB2312" w:cs="Times New Roman"/>
          <w:sz w:val="32"/>
        </w:rPr>
        <w:t>积极响应玉溪市产业工人技能提升行动，加快落实《玉溪高新区新时期产业工人队伍建设改革实施方案》，推进产业工人队伍建设。坚持产业人才需求导向，鼓励区内企业与玉溪师范学院、玉溪技师学院、玉溪互联网大学、玉溪互联网大学网络安全学院等开展合作，积极探索产教融合、校企合作、委托培养、工学一体等技能型人才培养模式。通过组织职业技能竞赛、设立工匠大师奖等形式，在各行业树立一批应用型和技能型人才典型，营造尊重劳动、崇尚技能的氛围。</w:t>
      </w:r>
    </w:p>
    <w:p w14:paraId="2F46654D">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打造高水平企业家队伍。</w:t>
      </w:r>
      <w:r>
        <w:rPr>
          <w:rFonts w:hint="default" w:ascii="Times New Roman" w:hAnsi="Times New Roman" w:eastAsia="仿宋_GB2312" w:cs="Times New Roman"/>
          <w:sz w:val="32"/>
        </w:rPr>
        <w:t>开展</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育商</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活动，支持成立企业家俱乐部，积极开展企业创新管理、企业信息化战略、企业危机管理、资本运作、产权保护等前瞻性和实用性相结合的培训活动，加速培育富有洞见力和领导力的企业家。加强新生代企业家联谊组织建设，引导新生代企业家继承发扬老一代企业家的创业精神和优良传统，艰苦奋斗、坚守实业。塑造</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亲商</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氛围，组织成立企业家顾问委员会，争取更多企业家为园区发展建言献策。</w:t>
      </w:r>
    </w:p>
    <w:p w14:paraId="07132407">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45" w:name="_Toc67935923"/>
      <w:r>
        <w:rPr>
          <w:rFonts w:hint="default" w:ascii="Times New Roman" w:hAnsi="Times New Roman" w:eastAsia="楷体_GB2312" w:cs="Times New Roman"/>
          <w:bCs w:val="0"/>
          <w:color w:val="000000" w:themeColor="text1"/>
          <w14:textFill>
            <w14:solidFill>
              <w14:schemeClr w14:val="tx1"/>
            </w14:solidFill>
          </w14:textFill>
        </w:rPr>
        <w:t>4.强化科技服务支撑能力</w:t>
      </w:r>
      <w:bookmarkEnd w:id="45"/>
    </w:p>
    <w:p w14:paraId="1C5B737B">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发挥政府引导基金作用。</w:t>
      </w:r>
      <w:r>
        <w:rPr>
          <w:rFonts w:hint="default" w:ascii="Times New Roman" w:hAnsi="Times New Roman" w:eastAsia="仿宋_GB2312" w:cs="Times New Roman"/>
          <w:sz w:val="32"/>
        </w:rPr>
        <w:t>设立高新区产业引导基金，采用</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股权投资+补偿基金</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模式撬动社会资本，重点投向生物医药及医疗器械、新能源新材料、先进装备制造等符合园区发展导向的产业领域，促进国内外优质资本、项目、技术、人才向高新区集聚。联合区内孵化载体运营管理单位，组建高新区创业孵化种子基金，按照</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公开透明、科学决策、宽容失败、风险共担</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的原则，对孵化载体内的在孵企业，以股权投资、融资担保、融资补贴等方式实施政策性扶持。</w:t>
      </w:r>
    </w:p>
    <w:p w14:paraId="0EEDB60B">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实施科技成果转移转化行动。</w:t>
      </w:r>
      <w:r>
        <w:rPr>
          <w:rFonts w:hint="default" w:ascii="Times New Roman" w:hAnsi="Times New Roman" w:eastAsia="仿宋_GB2312" w:cs="Times New Roman"/>
          <w:sz w:val="32"/>
        </w:rPr>
        <w:t>探索实行产业创新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揭榜挂帅</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，联合园区企业梳理制约产业发展的关键技术和难点痛点，面向全国征集技术解决方案和重大科技成果。依托中科创享，定期举办路演、线上视频对接会、企业走进</w:t>
      </w:r>
      <w:r>
        <w:rPr>
          <w:rFonts w:hint="eastAsia" w:ascii="Times New Roman" w:hAnsi="Times New Roman" w:eastAsia="仿宋_GB2312" w:cs="Times New Roman"/>
          <w:sz w:val="32"/>
          <w:lang w:eastAsia="zh-CN"/>
        </w:rPr>
        <w:t>“中国科学院”</w:t>
      </w:r>
      <w:r>
        <w:rPr>
          <w:rFonts w:hint="default" w:ascii="Times New Roman" w:hAnsi="Times New Roman" w:eastAsia="仿宋_GB2312" w:cs="Times New Roman"/>
          <w:sz w:val="32"/>
        </w:rPr>
        <w:t>等活动，深入挖掘本地企业技术创新、成果转化需求，精准匹配</w:t>
      </w:r>
      <w:r>
        <w:rPr>
          <w:rFonts w:hint="eastAsia" w:ascii="Times New Roman" w:hAnsi="Times New Roman" w:eastAsia="仿宋_GB2312" w:cs="Times New Roman"/>
          <w:sz w:val="32"/>
          <w:lang w:eastAsia="zh-CN"/>
        </w:rPr>
        <w:t>中国科学院</w:t>
      </w:r>
      <w:r>
        <w:rPr>
          <w:rFonts w:hint="default" w:ascii="Times New Roman" w:hAnsi="Times New Roman" w:eastAsia="仿宋_GB2312" w:cs="Times New Roman"/>
          <w:sz w:val="32"/>
        </w:rPr>
        <w:t>科技成果、科技人才、仪器设备等资源，推动科技成果转化。积极对接红塔区科技成果转化中心，链接云南省科学技术院资源，主动融入全省科技服务网络。联合专业机构，开展技术转移培训、技术经理人培训等活动，加快培养一批技术转移专业人才。</w:t>
      </w:r>
    </w:p>
    <w:p w14:paraId="056D479B">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优化提升科技服务环境</w:t>
      </w:r>
      <w:r>
        <w:rPr>
          <w:rFonts w:hint="default" w:ascii="Times New Roman" w:hAnsi="Times New Roman" w:eastAsia="仿宋_GB2312" w:cs="Times New Roman"/>
          <w:sz w:val="32"/>
        </w:rPr>
        <w:t>。通过外引内培，集聚一批专业化、规模化的科技中介服务机构，围绕科技咨询、知识产权、检验检测等领域，打造科技服务机构集聚区。充分发挥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猪八戒网</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的平台作用，利用其全网科技中介服务机构资源优势，助推园区企业加快科技创新。探索实施</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科技创新券</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高新区面向区内企业发行创新券，企业领取后凭券向科技中介服务机构购买专利服务、高企申报、研发设计、创业孵化、检验检测等服务，由高新区管委会向持券服务机构兑付相应费用，实现科技创新从后补贴向前补贴的转变，降低企业创新成本，增强企业创新动力，吸引优秀科技服务机构为企业提供更加专业、规范、优质的服务。</w:t>
      </w:r>
    </w:p>
    <w:p w14:paraId="6D28FDC4">
      <w:pPr>
        <w:pStyle w:val="3"/>
        <w:widowControl/>
        <w:spacing w:before="156" w:beforeLines="50" w:after="156" w:afterLines="50" w:line="52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46" w:name="_Toc67935924"/>
      <w:r>
        <w:rPr>
          <w:rFonts w:hint="default" w:ascii="Times New Roman" w:hAnsi="Times New Roman" w:eastAsia="黑体" w:cs="Times New Roman"/>
          <w:b w:val="0"/>
          <w:bCs w:val="0"/>
          <w:color w:val="000000" w:themeColor="text1"/>
          <w14:textFill>
            <w14:solidFill>
              <w14:schemeClr w14:val="tx1"/>
            </w14:solidFill>
          </w14:textFill>
        </w:rPr>
        <w:t>（三）强化高层次开放协同，打造开放新格局</w:t>
      </w:r>
      <w:bookmarkEnd w:id="46"/>
    </w:p>
    <w:p w14:paraId="20D79A3D">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主动服务和融入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一带一路</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、长江经济带、滇中城市群和昆玉同城化建设，提升面向两亚开放水平，加强与国内创新高地的高端链接，统筹用好国际国内两个市场、两种资源，坚持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引进来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和</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走出去</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相结合，深化双向开放</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外循环</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，融入更大范围的创新链、产业链和供应链</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内循环</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，构建全方位、深层次、高水平的协同开放新格局。</w:t>
      </w:r>
    </w:p>
    <w:p w14:paraId="2F8B44CD">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47" w:name="_Toc67935925"/>
      <w:r>
        <w:rPr>
          <w:rFonts w:hint="default" w:ascii="Times New Roman" w:hAnsi="Times New Roman" w:eastAsia="楷体_GB2312" w:cs="Times New Roman"/>
          <w:bCs w:val="0"/>
          <w:color w:val="000000" w:themeColor="text1"/>
          <w14:textFill>
            <w14:solidFill>
              <w14:schemeClr w14:val="tx1"/>
            </w14:solidFill>
          </w14:textFill>
        </w:rPr>
        <w:t>1.建设面向两亚合作枢纽</w:t>
      </w:r>
      <w:bookmarkEnd w:id="47"/>
    </w:p>
    <w:p w14:paraId="6631169B">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畅通面向两亚物流贸易通道。</w:t>
      </w:r>
      <w:r>
        <w:rPr>
          <w:rFonts w:hint="default" w:ascii="Times New Roman" w:hAnsi="Times New Roman" w:eastAsia="仿宋_GB2312" w:cs="Times New Roman"/>
          <w:sz w:val="32"/>
        </w:rPr>
        <w:t>紧抓泛亚铁路中线通车的重大历史机遇，依托高新区得天独厚的交通区位优势，加快推进重要基础设施建设，支撑外向型经济持续快速发展。加快建设铁路口岸，发展通道经济，加快建设玉溪海关项目，设立海关</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一站式</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服务窗口，推广实施</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提前报检、提前报关、货到验放、电子放行</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模式，提高外经贸企业通关效率。</w:t>
      </w:r>
      <w:r>
        <w:rPr>
          <w:rFonts w:hint="default" w:ascii="Times New Roman" w:hAnsi="Times New Roman" w:eastAsia="仿宋_GB2312" w:cs="Times New Roman"/>
          <w:bCs/>
          <w:sz w:val="32"/>
        </w:rPr>
        <w:t>推进中国西南·玉溪国际物流港建设，集聚一批物流服务企业、商贸与加工制造企业、中介服务机构等，充分应用大数据、物联网、人工智能等技术，打造智能化进出口加工基地和保税物流基地。支持有条件的物流企业在越南、老挝、缅甸、泰国、柬埔寨等国家设立物流办事机构和海外仓，积极开展国际业务。</w:t>
      </w:r>
      <w:r>
        <w:rPr>
          <w:rFonts w:hint="default" w:ascii="Times New Roman" w:hAnsi="Times New Roman" w:eastAsia="仿宋_GB2312" w:cs="Times New Roman"/>
          <w:b/>
          <w:sz w:val="32"/>
        </w:rPr>
        <w:t>搭建</w:t>
      </w:r>
      <w:r>
        <w:rPr>
          <w:rFonts w:hint="eastAsia" w:ascii="Times New Roman" w:hAnsi="Times New Roman" w:eastAsia="仿宋_GB2312" w:cs="Times New Roman"/>
          <w:b/>
          <w:sz w:val="32"/>
          <w:lang w:eastAsia="zh-CN"/>
        </w:rPr>
        <w:t>“</w:t>
      </w:r>
      <w:r>
        <w:rPr>
          <w:rFonts w:hint="default" w:ascii="Times New Roman" w:hAnsi="Times New Roman" w:eastAsia="仿宋_GB2312" w:cs="Times New Roman"/>
          <w:b/>
          <w:sz w:val="32"/>
        </w:rPr>
        <w:t>直通两亚</w:t>
      </w:r>
      <w:r>
        <w:rPr>
          <w:rFonts w:hint="eastAsia" w:ascii="Times New Roman" w:hAnsi="Times New Roman" w:eastAsia="仿宋_GB2312" w:cs="Times New Roman"/>
          <w:b/>
          <w:sz w:val="32"/>
          <w:lang w:eastAsia="zh-CN"/>
        </w:rPr>
        <w:t>”</w:t>
      </w:r>
      <w:r>
        <w:rPr>
          <w:rFonts w:hint="default" w:ascii="Times New Roman" w:hAnsi="Times New Roman" w:eastAsia="仿宋_GB2312" w:cs="Times New Roman"/>
          <w:b/>
          <w:sz w:val="32"/>
        </w:rPr>
        <w:t>合作平台。</w:t>
      </w:r>
      <w:r>
        <w:rPr>
          <w:rFonts w:hint="default" w:ascii="Times New Roman" w:hAnsi="Times New Roman" w:eastAsia="仿宋_GB2312" w:cs="Times New Roman"/>
          <w:sz w:val="32"/>
        </w:rPr>
        <w:t>联合启迪、中科创享等知名服务机构，积极探索</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区内注册、海外孵化、全球经营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离岸基地运营模式，建设海外众创空间、孵化器，筛选一批优质海外项目。探索在新加坡、马来西亚、泰国、印度等国家设立招商代表处，积极与海外总商会、海外产业联盟建立联系，邀请部分侨商、华商担任境外招商联络员，积极参加本地招商项目对接洽谈会等活动。</w:t>
      </w:r>
    </w:p>
    <w:p w14:paraId="54603A68">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rPr>
        <w:t>支持企业</w:t>
      </w:r>
      <w:r>
        <w:rPr>
          <w:rFonts w:hint="eastAsia" w:ascii="Times New Roman" w:hAnsi="Times New Roman" w:eastAsia="仿宋_GB2312" w:cs="Times New Roman"/>
          <w:b/>
          <w:sz w:val="32"/>
          <w:lang w:eastAsia="zh-CN"/>
        </w:rPr>
        <w:t>“</w:t>
      </w:r>
      <w:r>
        <w:rPr>
          <w:rFonts w:hint="default" w:ascii="Times New Roman" w:hAnsi="Times New Roman" w:eastAsia="仿宋_GB2312" w:cs="Times New Roman"/>
          <w:b/>
          <w:sz w:val="32"/>
        </w:rPr>
        <w:t>走出去</w:t>
      </w:r>
      <w:r>
        <w:rPr>
          <w:rFonts w:hint="eastAsia" w:ascii="Times New Roman" w:hAnsi="Times New Roman" w:eastAsia="仿宋_GB2312" w:cs="Times New Roman"/>
          <w:b/>
          <w:sz w:val="32"/>
          <w:lang w:eastAsia="zh-CN"/>
        </w:rPr>
        <w:t>”</w:t>
      </w:r>
      <w:r>
        <w:rPr>
          <w:rFonts w:hint="default" w:ascii="Times New Roman" w:hAnsi="Times New Roman" w:eastAsia="仿宋_GB2312" w:cs="Times New Roman"/>
          <w:b/>
          <w:sz w:val="32"/>
        </w:rPr>
        <w:t>。</w:t>
      </w:r>
      <w:r>
        <w:rPr>
          <w:rFonts w:hint="default" w:ascii="Times New Roman" w:hAnsi="Times New Roman" w:eastAsia="仿宋_GB2312" w:cs="Times New Roman"/>
          <w:sz w:val="32"/>
          <w:szCs w:val="32"/>
        </w:rPr>
        <w:t>联合园区企业、专业服务机构和院校，</w:t>
      </w:r>
      <w:r>
        <w:rPr>
          <w:rFonts w:hint="default" w:ascii="Times New Roman" w:hAnsi="Times New Roman" w:eastAsia="仿宋_GB2312" w:cs="Times New Roman"/>
          <w:bCs/>
          <w:sz w:val="32"/>
          <w:szCs w:val="32"/>
        </w:rPr>
        <w:t>成立</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赢在两亚</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合作联盟，加强业务合作和信息交流，</w:t>
      </w:r>
      <w:r>
        <w:rPr>
          <w:rFonts w:hint="default" w:ascii="Times New Roman" w:hAnsi="Times New Roman" w:eastAsia="仿宋_GB2312" w:cs="Times New Roman"/>
          <w:sz w:val="32"/>
          <w:szCs w:val="32"/>
        </w:rPr>
        <w:t>实现优势互补、合作共赢。鼓励区内龙头企业带领产业链上下游企业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抱团出海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，通过开展跨国并购、共建境外产业基地等方式，共同开拓国际市场。优化企业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走出去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政策和制度环境，落实完善企业境外所得税收抵免政策，加大对高新技术企业出口支持力度，降低企业国际布局成本。</w:t>
      </w:r>
    </w:p>
    <w:p w14:paraId="7606D6DF">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48" w:name="_Toc67935926"/>
      <w:r>
        <w:rPr>
          <w:rFonts w:hint="default" w:ascii="Times New Roman" w:hAnsi="Times New Roman" w:eastAsia="楷体_GB2312" w:cs="Times New Roman"/>
          <w:bCs w:val="0"/>
          <w:color w:val="000000" w:themeColor="text1"/>
          <w14:textFill>
            <w14:solidFill>
              <w14:schemeClr w14:val="tx1"/>
            </w14:solidFill>
          </w14:textFill>
        </w:rPr>
        <w:t>2.深化国内链接和区域合作</w:t>
      </w:r>
      <w:bookmarkEnd w:id="48"/>
    </w:p>
    <w:p w14:paraId="32F08ED2">
      <w:pPr>
        <w:spacing w:line="560" w:lineRule="exact"/>
        <w:ind w:firstLine="643" w:firstLineChars="200"/>
        <w:rPr>
          <w:rFonts w:hint="default" w:ascii="Times New Roman" w:hAnsi="Times New Roman" w:eastAsia="仿宋_GB2312" w:cs="Times New Roman"/>
          <w:b/>
          <w:sz w:val="32"/>
        </w:rPr>
      </w:pPr>
      <w:r>
        <w:rPr>
          <w:rFonts w:hint="default" w:ascii="Times New Roman" w:hAnsi="Times New Roman" w:eastAsia="仿宋_GB2312" w:cs="Times New Roman"/>
          <w:b/>
          <w:sz w:val="32"/>
        </w:rPr>
        <w:t>积极链接国内创新高地。</w:t>
      </w:r>
      <w:r>
        <w:rPr>
          <w:rFonts w:hint="default" w:ascii="Times New Roman" w:hAnsi="Times New Roman" w:eastAsia="仿宋_GB2312" w:cs="Times New Roman"/>
          <w:sz w:val="32"/>
        </w:rPr>
        <w:t>把握长三角、珠三角等经济发达地区产业转移新动向，重点关注生物医药及医疗器械、先进装备制造、新能源新材料、大数据等领域的龙头企业，制订有针对性的招商方案，组建高素质、专业化的招商队伍，开展</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一对一</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上门招商。积极承接北京中关村、上海张江、武汉东湖等国内一流园区的产业辐射，以跨区域共建园区为主要抓手，加强主导产业资源的靶向链接，着力吸引瞪羚、独角兽等高成长企业落户高新区。定期与一流园区开展互访交流，邀请管委会人员、企业家等担任高新区创新发展顾问，深入学习一流园区的先进经验模式。</w:t>
      </w:r>
    </w:p>
    <w:p w14:paraId="102FC0A6">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深度融入滇中城市群建设。</w:t>
      </w:r>
      <w:r>
        <w:rPr>
          <w:rFonts w:hint="default" w:ascii="Times New Roman" w:hAnsi="Times New Roman" w:eastAsia="仿宋_GB2312" w:cs="Times New Roman"/>
          <w:sz w:val="32"/>
        </w:rPr>
        <w:t>借助滇中城市群发展、昆玉同城化等契机，从产业、创新、开放等层面着手，与昆明、楚雄等高新区建立多层次合作交流机制，支撑玉溪打造滇中崛起增长极。围绕高新区新兴产业发展需求，积极对接昆明高新区生物医药及医疗器械、新能源新材料、先进装备制造等产业基地，加强产业承接和配套协同，支持高新区企业在技术创新、人才培养、成果转化等方面与省内企业开展合作，加强市场辐射，促进产业资源的跨区域高效配置。进一步深化与省内高校院所合作，共建新型研发机构、技术转移中心等产业服务平台，导入高端创新资源。联合省内高新区，开展面向南亚东南亚的开放合作，共同搭建对外开放平台，开拓两亚市场，形成对外开放合力。积极推进与红塔区、江川区一体化发展，实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规划、城市、产业、人人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融合，做强产业、集聚人口，打造引领玉溪发展的核心。</w:t>
      </w:r>
    </w:p>
    <w:p w14:paraId="65BE2450">
      <w:pPr>
        <w:pStyle w:val="3"/>
        <w:widowControl/>
        <w:spacing w:before="156" w:beforeLines="50" w:after="156" w:afterLines="50" w:line="52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49" w:name="_Toc67935927"/>
      <w:r>
        <w:rPr>
          <w:rFonts w:hint="default" w:ascii="Times New Roman" w:hAnsi="Times New Roman" w:eastAsia="黑体" w:cs="Times New Roman"/>
          <w:b w:val="0"/>
          <w:bCs w:val="0"/>
          <w:color w:val="000000" w:themeColor="text1"/>
          <w14:textFill>
            <w14:solidFill>
              <w14:schemeClr w14:val="tx1"/>
            </w14:solidFill>
          </w14:textFill>
        </w:rPr>
        <w:t>（四）</w:t>
      </w:r>
      <w:bookmarkStart w:id="50" w:name="_Hlk43824047"/>
      <w:r>
        <w:rPr>
          <w:rFonts w:hint="default" w:ascii="Times New Roman" w:hAnsi="Times New Roman" w:eastAsia="黑体" w:cs="Times New Roman"/>
          <w:b w:val="0"/>
          <w:bCs w:val="0"/>
          <w:color w:val="000000" w:themeColor="text1"/>
          <w14:textFill>
            <w14:solidFill>
              <w14:schemeClr w14:val="tx1"/>
            </w14:solidFill>
          </w14:textFill>
        </w:rPr>
        <w:t>建设高标准数字园区</w:t>
      </w:r>
      <w:bookmarkEnd w:id="50"/>
      <w:r>
        <w:rPr>
          <w:rFonts w:hint="default" w:ascii="Times New Roman" w:hAnsi="Times New Roman" w:eastAsia="黑体" w:cs="Times New Roman"/>
          <w:b w:val="0"/>
          <w:bCs w:val="0"/>
          <w:color w:val="000000" w:themeColor="text1"/>
          <w14:textFill>
            <w14:solidFill>
              <w14:schemeClr w14:val="tx1"/>
            </w14:solidFill>
          </w14:textFill>
        </w:rPr>
        <w:t>，树立产城融合新标杆</w:t>
      </w:r>
      <w:bookmarkEnd w:id="49"/>
    </w:p>
    <w:p w14:paraId="43705508">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坚持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以人为本、产城融合</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发展理念，优化重塑</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一核三片区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空间布局，加快建设新型基础设施，高标准打造玉溪高新智慧城，完善提升城市配套功能，将高新区建设成为布局合理、功能完善、宜业宜居的现代化科技产业新城。</w:t>
      </w:r>
    </w:p>
    <w:p w14:paraId="0036D9E3">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51" w:name="_Toc67935928"/>
      <w:r>
        <w:rPr>
          <w:rFonts w:hint="default" w:ascii="Times New Roman" w:hAnsi="Times New Roman" w:eastAsia="楷体_GB2312" w:cs="Times New Roman"/>
          <w:bCs w:val="0"/>
          <w:color w:val="000000" w:themeColor="text1"/>
          <w14:textFill>
            <w14:solidFill>
              <w14:schemeClr w14:val="tx1"/>
            </w14:solidFill>
          </w14:textFill>
        </w:rPr>
        <w:t>1.优化</w:t>
      </w:r>
      <w:r>
        <w:rPr>
          <w:rFonts w:hint="eastAsia" w:ascii="Times New Roman" w:hAnsi="Times New Roman" w:eastAsia="楷体_GB2312" w:cs="Times New Roman"/>
          <w:bCs w:val="0"/>
          <w:color w:val="000000" w:themeColor="text1"/>
          <w:lang w:eastAsia="zh-CN"/>
          <w14:textFill>
            <w14:solidFill>
              <w14:schemeClr w14:val="tx1"/>
            </w14:solidFill>
          </w14:textFill>
        </w:rPr>
        <w:t>“</w:t>
      </w:r>
      <w:r>
        <w:rPr>
          <w:rFonts w:hint="default" w:ascii="Times New Roman" w:hAnsi="Times New Roman" w:eastAsia="楷体_GB2312" w:cs="Times New Roman"/>
          <w:bCs w:val="0"/>
          <w:color w:val="000000" w:themeColor="text1"/>
          <w14:textFill>
            <w14:solidFill>
              <w14:schemeClr w14:val="tx1"/>
            </w14:solidFill>
          </w14:textFill>
        </w:rPr>
        <w:t>一核三片区</w:t>
      </w:r>
      <w:r>
        <w:rPr>
          <w:rFonts w:hint="eastAsia" w:ascii="Times New Roman" w:hAnsi="Times New Roman" w:eastAsia="楷体_GB2312" w:cs="Times New Roman"/>
          <w:bCs w:val="0"/>
          <w:color w:val="000000" w:themeColor="text1"/>
          <w:lang w:eastAsia="zh-CN"/>
          <w14:textFill>
            <w14:solidFill>
              <w14:schemeClr w14:val="tx1"/>
            </w14:solidFill>
          </w14:textFill>
        </w:rPr>
        <w:t>”</w:t>
      </w:r>
      <w:r>
        <w:rPr>
          <w:rFonts w:hint="default" w:ascii="Times New Roman" w:hAnsi="Times New Roman" w:eastAsia="楷体_GB2312" w:cs="Times New Roman"/>
          <w:bCs w:val="0"/>
          <w:color w:val="000000" w:themeColor="text1"/>
          <w14:textFill>
            <w14:solidFill>
              <w14:schemeClr w14:val="tx1"/>
            </w14:solidFill>
          </w14:textFill>
        </w:rPr>
        <w:t>功能布局</w:t>
      </w:r>
      <w:bookmarkEnd w:id="51"/>
    </w:p>
    <w:p w14:paraId="38441E0F">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围绕高新区功能定位和发展需要，按照产业集聚、</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一园一业</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的原则，科学规划产业空间布局，整体打造</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一核三片区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空间格局，完善各片区基础设施和功能配套，形成产业特色鲜明、区域功能完善的产城融合发展新格局。</w:t>
      </w:r>
    </w:p>
    <w:p w14:paraId="096E8884">
      <w:pPr>
        <w:spacing w:line="560" w:lineRule="exact"/>
        <w:jc w:val="center"/>
        <w:rPr>
          <w:rFonts w:hint="default" w:ascii="Times New Roman" w:hAnsi="Times New Roman" w:eastAsia="仿宋_GB2312" w:cs="Times New Roman"/>
          <w:b/>
          <w:sz w:val="24"/>
          <w:szCs w:val="32"/>
        </w:rPr>
      </w:pPr>
      <w:r>
        <w:rPr>
          <w:rFonts w:hint="default" w:ascii="Times New Roman" w:hAnsi="Times New Roman" w:eastAsia="仿宋_GB2312" w:cs="Times New Roman"/>
          <w:b/>
          <w:sz w:val="24"/>
          <w:szCs w:val="32"/>
        </w:rPr>
        <w:t>表3 玉溪高新区</w:t>
      </w:r>
      <w:r>
        <w:rPr>
          <w:rFonts w:hint="eastAsia" w:ascii="Times New Roman" w:hAnsi="Times New Roman" w:eastAsia="仿宋_GB2312" w:cs="Times New Roman"/>
          <w:b/>
          <w:sz w:val="24"/>
          <w:szCs w:val="32"/>
          <w:lang w:eastAsia="zh-CN"/>
        </w:rPr>
        <w:t>“</w:t>
      </w:r>
      <w:r>
        <w:rPr>
          <w:rFonts w:hint="default" w:ascii="Times New Roman" w:hAnsi="Times New Roman" w:eastAsia="仿宋_GB2312" w:cs="Times New Roman"/>
          <w:b/>
          <w:sz w:val="24"/>
          <w:szCs w:val="32"/>
        </w:rPr>
        <w:t>一核三片区</w:t>
      </w:r>
      <w:r>
        <w:rPr>
          <w:rFonts w:hint="eastAsia" w:ascii="Times New Roman" w:hAnsi="Times New Roman" w:eastAsia="仿宋_GB2312" w:cs="Times New Roman"/>
          <w:b/>
          <w:sz w:val="24"/>
          <w:szCs w:val="32"/>
          <w:lang w:eastAsia="zh-CN"/>
        </w:rPr>
        <w:t>”</w:t>
      </w:r>
      <w:r>
        <w:rPr>
          <w:rFonts w:hint="default" w:ascii="Times New Roman" w:hAnsi="Times New Roman" w:eastAsia="仿宋_GB2312" w:cs="Times New Roman"/>
          <w:b/>
          <w:sz w:val="24"/>
          <w:szCs w:val="32"/>
        </w:rPr>
        <w:t>规划面积</w:t>
      </w:r>
    </w:p>
    <w:tbl>
      <w:tblPr>
        <w:tblStyle w:val="26"/>
        <w:tblW w:w="7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741"/>
      </w:tblGrid>
      <w:tr w14:paraId="6F3D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3354" w:type="dxa"/>
            <w:vAlign w:val="center"/>
          </w:tcPr>
          <w:p w14:paraId="0C9D949A">
            <w:pPr>
              <w:widowControl/>
              <w:spacing w:line="280" w:lineRule="exact"/>
              <w:jc w:val="center"/>
              <w:rPr>
                <w:rFonts w:hint="default" w:ascii="Times New Roman" w:hAnsi="Times New Roman" w:eastAsia="仿宋_GB2312" w:cs="Times New Roman"/>
                <w:b/>
                <w:bCs/>
                <w:sz w:val="22"/>
                <w:szCs w:val="18"/>
              </w:rPr>
            </w:pPr>
            <w:r>
              <w:rPr>
                <w:rFonts w:hint="default" w:ascii="Times New Roman" w:hAnsi="Times New Roman" w:eastAsia="仿宋_GB2312" w:cs="Times New Roman"/>
                <w:b/>
                <w:bCs/>
                <w:sz w:val="22"/>
                <w:szCs w:val="18"/>
              </w:rPr>
              <w:t>片区</w:t>
            </w:r>
          </w:p>
        </w:tc>
        <w:tc>
          <w:tcPr>
            <w:tcW w:w="3741" w:type="dxa"/>
            <w:vAlign w:val="center"/>
          </w:tcPr>
          <w:p w14:paraId="2F2C564F">
            <w:pPr>
              <w:widowControl/>
              <w:spacing w:line="280" w:lineRule="exact"/>
              <w:jc w:val="center"/>
              <w:rPr>
                <w:rFonts w:hint="default" w:ascii="Times New Roman" w:hAnsi="Times New Roman" w:eastAsia="仿宋_GB2312" w:cs="Times New Roman"/>
                <w:b/>
                <w:bCs/>
                <w:sz w:val="22"/>
                <w:szCs w:val="18"/>
              </w:rPr>
            </w:pPr>
            <w:r>
              <w:rPr>
                <w:rFonts w:hint="default" w:ascii="Times New Roman" w:hAnsi="Times New Roman" w:eastAsia="仿宋_GB2312" w:cs="Times New Roman"/>
                <w:b/>
                <w:bCs/>
                <w:sz w:val="22"/>
                <w:szCs w:val="18"/>
              </w:rPr>
              <w:t>规划面积（平方公里）</w:t>
            </w:r>
          </w:p>
        </w:tc>
      </w:tr>
      <w:tr w14:paraId="3352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4" w:type="dxa"/>
            <w:vAlign w:val="center"/>
          </w:tcPr>
          <w:p w14:paraId="3272FE52">
            <w:pPr>
              <w:widowControl/>
              <w:spacing w:line="280" w:lineRule="exact"/>
              <w:jc w:val="center"/>
              <w:rPr>
                <w:rFonts w:hint="default" w:ascii="Times New Roman" w:hAnsi="Times New Roman" w:eastAsia="仿宋_GB2312" w:cs="Times New Roman"/>
                <w:b/>
                <w:sz w:val="22"/>
                <w:szCs w:val="18"/>
              </w:rPr>
            </w:pPr>
            <w:r>
              <w:rPr>
                <w:rFonts w:hint="default" w:ascii="Times New Roman" w:hAnsi="Times New Roman" w:eastAsia="仿宋_GB2312" w:cs="Times New Roman"/>
                <w:b/>
                <w:sz w:val="22"/>
                <w:szCs w:val="18"/>
              </w:rPr>
              <w:t>核心区（南片区、九龙片区）</w:t>
            </w:r>
          </w:p>
        </w:tc>
        <w:tc>
          <w:tcPr>
            <w:tcW w:w="3741" w:type="dxa"/>
            <w:vAlign w:val="center"/>
          </w:tcPr>
          <w:p w14:paraId="62445EE6">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10.29</w:t>
            </w:r>
          </w:p>
        </w:tc>
      </w:tr>
      <w:tr w14:paraId="4CB9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4" w:type="dxa"/>
            <w:vAlign w:val="center"/>
          </w:tcPr>
          <w:p w14:paraId="2FBB571E">
            <w:pPr>
              <w:widowControl/>
              <w:spacing w:line="280" w:lineRule="exact"/>
              <w:jc w:val="center"/>
              <w:rPr>
                <w:rFonts w:hint="default" w:ascii="Times New Roman" w:hAnsi="Times New Roman" w:eastAsia="仿宋_GB2312" w:cs="Times New Roman"/>
                <w:b/>
                <w:sz w:val="22"/>
                <w:szCs w:val="18"/>
              </w:rPr>
            </w:pPr>
            <w:r>
              <w:rPr>
                <w:rFonts w:hint="default" w:ascii="Times New Roman" w:hAnsi="Times New Roman" w:eastAsia="仿宋_GB2312" w:cs="Times New Roman"/>
                <w:b/>
                <w:sz w:val="22"/>
                <w:szCs w:val="18"/>
              </w:rPr>
              <w:t>红塔片区</w:t>
            </w:r>
          </w:p>
        </w:tc>
        <w:tc>
          <w:tcPr>
            <w:tcW w:w="3741" w:type="dxa"/>
            <w:vAlign w:val="center"/>
          </w:tcPr>
          <w:p w14:paraId="6D62A83D">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12.60</w:t>
            </w:r>
          </w:p>
        </w:tc>
      </w:tr>
      <w:tr w14:paraId="07C7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4" w:type="dxa"/>
            <w:vAlign w:val="center"/>
          </w:tcPr>
          <w:p w14:paraId="2FB298A8">
            <w:pPr>
              <w:widowControl/>
              <w:spacing w:line="280" w:lineRule="exact"/>
              <w:jc w:val="center"/>
              <w:rPr>
                <w:rFonts w:hint="default" w:ascii="Times New Roman" w:hAnsi="Times New Roman" w:eastAsia="仿宋_GB2312" w:cs="Times New Roman"/>
                <w:b/>
                <w:sz w:val="22"/>
                <w:szCs w:val="18"/>
              </w:rPr>
            </w:pPr>
            <w:r>
              <w:rPr>
                <w:rFonts w:hint="default" w:ascii="Times New Roman" w:hAnsi="Times New Roman" w:eastAsia="仿宋_GB2312" w:cs="Times New Roman"/>
                <w:b/>
                <w:sz w:val="22"/>
                <w:szCs w:val="18"/>
              </w:rPr>
              <w:t>研和片区</w:t>
            </w:r>
          </w:p>
        </w:tc>
        <w:tc>
          <w:tcPr>
            <w:tcW w:w="3741" w:type="dxa"/>
            <w:vAlign w:val="center"/>
          </w:tcPr>
          <w:p w14:paraId="40CD26AB">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20.42</w:t>
            </w:r>
          </w:p>
        </w:tc>
      </w:tr>
      <w:tr w14:paraId="544F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354" w:type="dxa"/>
            <w:vAlign w:val="center"/>
          </w:tcPr>
          <w:p w14:paraId="5775B278">
            <w:pPr>
              <w:widowControl/>
              <w:spacing w:line="280" w:lineRule="exact"/>
              <w:jc w:val="center"/>
              <w:rPr>
                <w:rFonts w:hint="default" w:ascii="Times New Roman" w:hAnsi="Times New Roman" w:eastAsia="仿宋_GB2312" w:cs="Times New Roman"/>
                <w:b/>
                <w:sz w:val="22"/>
                <w:szCs w:val="18"/>
              </w:rPr>
            </w:pPr>
            <w:r>
              <w:rPr>
                <w:rFonts w:hint="default" w:ascii="Times New Roman" w:hAnsi="Times New Roman" w:eastAsia="仿宋_GB2312" w:cs="Times New Roman"/>
                <w:b/>
                <w:sz w:val="22"/>
                <w:szCs w:val="18"/>
              </w:rPr>
              <w:t>江川片区</w:t>
            </w:r>
          </w:p>
        </w:tc>
        <w:tc>
          <w:tcPr>
            <w:tcW w:w="3741" w:type="dxa"/>
            <w:vAlign w:val="center"/>
          </w:tcPr>
          <w:p w14:paraId="02D889B7">
            <w:pPr>
              <w:widowControl/>
              <w:spacing w:line="280" w:lineRule="exact"/>
              <w:jc w:val="center"/>
              <w:rPr>
                <w:rFonts w:hint="default" w:ascii="Times New Roman" w:hAnsi="Times New Roman" w:eastAsia="仿宋_GB2312" w:cs="Times New Roman"/>
                <w:sz w:val="22"/>
                <w:szCs w:val="18"/>
              </w:rPr>
            </w:pPr>
            <w:r>
              <w:rPr>
                <w:rFonts w:hint="default" w:ascii="Times New Roman" w:hAnsi="Times New Roman" w:eastAsia="仿宋_GB2312" w:cs="Times New Roman"/>
                <w:sz w:val="22"/>
                <w:szCs w:val="18"/>
              </w:rPr>
              <w:t>12.53</w:t>
            </w:r>
          </w:p>
        </w:tc>
      </w:tr>
    </w:tbl>
    <w:p w14:paraId="3B59FCB3">
      <w:pPr>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drawing>
          <wp:inline distT="0" distB="0" distL="0" distR="0">
            <wp:extent cx="4291965" cy="314134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321730" cy="3163142"/>
                    </a:xfrm>
                    <a:prstGeom prst="rect">
                      <a:avLst/>
                    </a:prstGeom>
                    <a:noFill/>
                  </pic:spPr>
                </pic:pic>
              </a:graphicData>
            </a:graphic>
          </wp:inline>
        </w:drawing>
      </w:r>
    </w:p>
    <w:p w14:paraId="3E610F77">
      <w:pPr>
        <w:spacing w:line="560" w:lineRule="exact"/>
        <w:jc w:val="center"/>
        <w:rPr>
          <w:rFonts w:hint="default" w:ascii="Times New Roman" w:hAnsi="Times New Roman" w:eastAsia="仿宋_GB2312" w:cs="Times New Roman"/>
          <w:b/>
          <w:sz w:val="32"/>
        </w:rPr>
      </w:pPr>
      <w:r>
        <w:rPr>
          <w:rFonts w:hint="default" w:ascii="Times New Roman" w:hAnsi="Times New Roman" w:eastAsia="仿宋_GB2312" w:cs="Times New Roman"/>
          <w:b/>
          <w:sz w:val="24"/>
          <w:szCs w:val="32"/>
        </w:rPr>
        <w:t xml:space="preserve">图1 </w:t>
      </w:r>
      <w:r>
        <w:rPr>
          <w:rFonts w:hint="eastAsia" w:ascii="Times New Roman" w:hAnsi="Times New Roman" w:eastAsia="仿宋_GB2312" w:cs="Times New Roman"/>
          <w:b/>
          <w:sz w:val="24"/>
          <w:szCs w:val="32"/>
          <w:lang w:eastAsia="zh-CN"/>
        </w:rPr>
        <w:t>“</w:t>
      </w:r>
      <w:r>
        <w:rPr>
          <w:rFonts w:hint="default" w:ascii="Times New Roman" w:hAnsi="Times New Roman" w:eastAsia="仿宋_GB2312" w:cs="Times New Roman"/>
          <w:b/>
          <w:sz w:val="24"/>
          <w:szCs w:val="32"/>
        </w:rPr>
        <w:t>一核三片区</w:t>
      </w:r>
      <w:r>
        <w:rPr>
          <w:rFonts w:hint="eastAsia" w:ascii="Times New Roman" w:hAnsi="Times New Roman" w:eastAsia="仿宋_GB2312" w:cs="Times New Roman"/>
          <w:b/>
          <w:sz w:val="24"/>
          <w:szCs w:val="32"/>
          <w:lang w:eastAsia="zh-CN"/>
        </w:rPr>
        <w:t>”</w:t>
      </w:r>
      <w:r>
        <w:rPr>
          <w:rFonts w:hint="default" w:ascii="Times New Roman" w:hAnsi="Times New Roman" w:eastAsia="仿宋_GB2312" w:cs="Times New Roman"/>
          <w:b/>
          <w:sz w:val="24"/>
          <w:szCs w:val="32"/>
        </w:rPr>
        <w:t>布局图</w:t>
      </w:r>
    </w:p>
    <w:p w14:paraId="5418C24A">
      <w:pPr>
        <w:adjustRightInd w:val="0"/>
        <w:snapToGrid w:val="0"/>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核心区打造健康数字产城融合示范区。</w:t>
      </w:r>
      <w:r>
        <w:rPr>
          <w:rFonts w:hint="default" w:ascii="Times New Roman" w:hAnsi="Times New Roman" w:eastAsia="仿宋_GB2312" w:cs="Times New Roman"/>
          <w:sz w:val="32"/>
        </w:rPr>
        <w:t>以南片区玉溪高新智慧城、疫苗产业园以及九龙片区大数据及智能制造产业园等为依托，联合云科玉溪高新众创空间、启迪众创园、同济大学玉溪智能制造研究院等创新创业平台载体，打造健康数字产城融合示范区。重点发展生物医药、绿色食品等健康产业，布局以产业数字化和数字产业化为核心的数字经济，集聚一批专业化孵化载体、高能级研发平台及科技服务机构，承载技术研发、创业孵化、技术转移转化等功能，吸引大型企业总部基地或区域性、功能性总部，完善人才公寓、商务大厦、会展中心、大型购物中心、城市综合体等城市功能和教育、医疗等公共服务配套，构建多层次的生产、生活和公共服务体系。力争到2025年，实现主营业务收入600亿元，其中南片区200亿元，九龙片区400亿元。</w:t>
      </w:r>
    </w:p>
    <w:p w14:paraId="0D60F665">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红塔片区打造高质量转型提升示范区。</w:t>
      </w:r>
      <w:r>
        <w:rPr>
          <w:rFonts w:hint="default" w:ascii="Times New Roman" w:hAnsi="Times New Roman" w:eastAsia="仿宋_GB2312" w:cs="Times New Roman"/>
          <w:sz w:val="32"/>
        </w:rPr>
        <w:t>围绕高质量发展目标，坚持传统产业改造升级和新兴产业培育壮大</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双轮驱动</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加快新旧动能转换，打造转型提升示范区。重点推动钢铁、新型建材、装备制造等传统制造业迈向中高端，提升数字化、信息化水平，实施工业企业技术改造等计划，打造一系列制造业单项冠军及示范项目、示范企业、示范平台。以新材料产业园、光电子产业园等为依托，优化新兴产业布局，建设科技孵化中心，完善创新研发、创业孵化、技术转移等服务，加快基础设施配套、标准厂房建设等，打造新能源新材料、光电子等新兴产业集聚区。力争到2025年，实现主营业务收入400亿元。</w:t>
      </w:r>
    </w:p>
    <w:p w14:paraId="48DC0085">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研和片区打造开放特色高端制造区。</w:t>
      </w:r>
      <w:r>
        <w:rPr>
          <w:rFonts w:hint="default" w:ascii="Times New Roman" w:hAnsi="Times New Roman" w:eastAsia="仿宋_GB2312" w:cs="Times New Roman"/>
          <w:sz w:val="32"/>
        </w:rPr>
        <w:t>以国际物流港和滇中粮食物流产业园为基础，重点发展仓储物流、保税物流等领域，建设多式联运区、仓储交易区、商贸物流区等核心功能区，完善实体商贸、商品交易所及电子商务服务、物流服务、金融服务等配套，发展奢侈品免税、特色餐饮休闲等生活服务。依托数控机床产业园，重点发展数控机床中高端产品，实施数控机床产业数字化改造、网络化协同生产，打造先进装备制造业集聚区。积极推动黑色金属冶炼及支配加工升级发展。力争到2025年，实现主营业务收入600亿元。</w:t>
      </w:r>
    </w:p>
    <w:p w14:paraId="71098EAF">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江川片区打造绿色能源特色制造区。</w:t>
      </w:r>
      <w:r>
        <w:rPr>
          <w:rFonts w:hint="default" w:ascii="Times New Roman" w:hAnsi="Times New Roman" w:eastAsia="仿宋_GB2312" w:cs="Times New Roman"/>
          <w:sz w:val="32"/>
        </w:rPr>
        <w:t>贯彻绿色发展理念和要求，依托新能源新材料产业园、新能源产业技术研究院、高端医疗器械产业园等重大平台载体，打造绿色能源特色制造区，重点聚焦电池材料、锂离子动力电池、绿色环保储能等新能源材料领域，发展电池及材料技术研发、成果转化、检验检测等服务，布局高端医疗器械产业集群。加快推进片区标准厂房、道路、供电、供水等基础设施建设，完善教育培训、商务商业、生态居住等生产生活配套，打造宜居宜业的生态型园区。力争到2025年，实现主营业务收入600亿元。</w:t>
      </w:r>
    </w:p>
    <w:p w14:paraId="605A5C04">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52" w:name="_Toc67935929"/>
      <w:r>
        <w:rPr>
          <w:rFonts w:hint="default" w:ascii="Times New Roman" w:hAnsi="Times New Roman" w:eastAsia="楷体_GB2312" w:cs="Times New Roman"/>
          <w:bCs w:val="0"/>
          <w:color w:val="000000" w:themeColor="text1"/>
          <w14:textFill>
            <w14:solidFill>
              <w14:schemeClr w14:val="tx1"/>
            </w14:solidFill>
          </w14:textFill>
        </w:rPr>
        <w:t>2.推进绿色数字园区建设</w:t>
      </w:r>
      <w:bookmarkEnd w:id="52"/>
    </w:p>
    <w:p w14:paraId="607BED0D">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加快推进新型基础设施建设。</w:t>
      </w:r>
      <w:r>
        <w:rPr>
          <w:rFonts w:hint="default" w:ascii="Times New Roman" w:hAnsi="Times New Roman" w:eastAsia="仿宋_GB2312" w:cs="Times New Roman"/>
          <w:bCs/>
          <w:sz w:val="32"/>
        </w:rPr>
        <w:t>全力提升园区信息基础设施，逐步在各片区部署5G通信网络、物联网终端和智能化传感器，拓展延伸网络覆盖广度和深度。</w:t>
      </w:r>
      <w:r>
        <w:rPr>
          <w:rFonts w:hint="default" w:ascii="Times New Roman" w:hAnsi="Times New Roman" w:eastAsia="仿宋_GB2312" w:cs="Times New Roman"/>
          <w:sz w:val="32"/>
        </w:rPr>
        <w:t>积极推进园区骨干网络扩容和IPv6升级，进一步提高网络容量、通信质量和传输速率。充分发挥已有数据中心作用，构建高效协同的数据处理体系。围绕城市桥梁、管廊管线、道路交通、公共消防、停车场、充电桩等设施，部署实施一批智能化改造项目，</w:t>
      </w:r>
      <w:r>
        <w:rPr>
          <w:rFonts w:hint="default" w:ascii="Times New Roman" w:hAnsi="Times New Roman" w:eastAsia="仿宋_GB2312" w:cs="Times New Roman"/>
          <w:bCs/>
          <w:sz w:val="32"/>
        </w:rPr>
        <w:t>加快融合基础设施建设</w:t>
      </w:r>
      <w:r>
        <w:rPr>
          <w:rFonts w:hint="default" w:ascii="Times New Roman" w:hAnsi="Times New Roman" w:eastAsia="仿宋_GB2312" w:cs="Times New Roman"/>
          <w:sz w:val="32"/>
        </w:rPr>
        <w:t>。谋划建设</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园区大脑</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服务平台，集成整合企业服务、民生服务、经济运行监控、城市管理等服务和数据资源，实现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一屏观天下、一网管全区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w:t>
      </w:r>
    </w:p>
    <w:p w14:paraId="4D6133EB">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全力推进</w:t>
      </w:r>
      <w:r>
        <w:rPr>
          <w:rFonts w:hint="eastAsia" w:ascii="Times New Roman" w:hAnsi="Times New Roman" w:eastAsia="仿宋_GB2312" w:cs="Times New Roman"/>
          <w:b/>
          <w:sz w:val="32"/>
          <w:lang w:eastAsia="zh-CN"/>
        </w:rPr>
        <w:t>“</w:t>
      </w:r>
      <w:r>
        <w:rPr>
          <w:rFonts w:hint="default" w:ascii="Times New Roman" w:hAnsi="Times New Roman" w:eastAsia="仿宋_GB2312" w:cs="Times New Roman"/>
          <w:b/>
          <w:sz w:val="32"/>
        </w:rPr>
        <w:t>玉溪高新智慧城</w:t>
      </w:r>
      <w:r>
        <w:rPr>
          <w:rFonts w:hint="eastAsia" w:ascii="Times New Roman" w:hAnsi="Times New Roman" w:eastAsia="仿宋_GB2312" w:cs="Times New Roman"/>
          <w:b/>
          <w:sz w:val="32"/>
          <w:lang w:eastAsia="zh-CN"/>
        </w:rPr>
        <w:t>”</w:t>
      </w:r>
      <w:r>
        <w:rPr>
          <w:rFonts w:hint="default" w:ascii="Times New Roman" w:hAnsi="Times New Roman" w:eastAsia="仿宋_GB2312" w:cs="Times New Roman"/>
          <w:b/>
          <w:sz w:val="32"/>
        </w:rPr>
        <w:t>建设。</w:t>
      </w:r>
      <w:r>
        <w:rPr>
          <w:rFonts w:hint="default" w:ascii="Times New Roman" w:hAnsi="Times New Roman" w:eastAsia="仿宋_GB2312" w:cs="Times New Roman"/>
          <w:bCs/>
          <w:sz w:val="32"/>
        </w:rPr>
        <w:t>严格落实城市总规、控制性详规等规划，依规依法统筹开展南片区腾笼换鸟、退二进三工作。强化项目服务保障，稳步推进</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玉溪高新智慧城</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项目建设，依托玉溪独有生态环境、文化背景、城市记忆，承载</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科技创新中心、城市活力中心与健康生活目的地</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三大核心功能，打造科技地标、文化地标、商务地标。</w:t>
      </w:r>
    </w:p>
    <w:p w14:paraId="422C10E6">
      <w:pPr>
        <w:spacing w:line="560" w:lineRule="exact"/>
        <w:ind w:firstLine="643" w:firstLineChars="200"/>
        <w:rPr>
          <w:rFonts w:hint="default" w:ascii="Times New Roman" w:hAnsi="Times New Roman" w:eastAsia="仿宋_GB2312" w:cs="Times New Roman"/>
          <w:bCs/>
          <w:sz w:val="32"/>
        </w:rPr>
      </w:pPr>
      <w:bookmarkStart w:id="53" w:name="_Hlk43859968"/>
      <w:r>
        <w:rPr>
          <w:rFonts w:hint="default" w:ascii="Times New Roman" w:hAnsi="Times New Roman" w:eastAsia="仿宋_GB2312" w:cs="Times New Roman"/>
          <w:b/>
          <w:sz w:val="32"/>
        </w:rPr>
        <w:t>加快建设绿色生态园区。</w:t>
      </w:r>
      <w:bookmarkStart w:id="54" w:name="_Hlk43858313"/>
      <w:r>
        <w:rPr>
          <w:rFonts w:hint="default" w:ascii="Times New Roman" w:hAnsi="Times New Roman" w:eastAsia="仿宋_GB2312" w:cs="Times New Roman"/>
          <w:bCs/>
          <w:sz w:val="32"/>
        </w:rPr>
        <w:t>坚持</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绿水青山就是金山银山</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发展理念，打好污染防治攻坚战，积极推广绿色生产生活方式，打造环境友好型园区。引导企业开展绿色清洁生产，</w:t>
      </w:r>
      <w:bookmarkEnd w:id="54"/>
      <w:r>
        <w:rPr>
          <w:rFonts w:hint="default" w:ascii="Times New Roman" w:hAnsi="Times New Roman" w:eastAsia="仿宋_GB2312" w:cs="Times New Roman"/>
          <w:bCs/>
          <w:sz w:val="32"/>
        </w:rPr>
        <w:t>加快推进钢铁、建材、装备制造等重点耗能领域的节能改造升级，提高能源利用效率。加强</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散、乱、污</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企业治理，</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严管重罚</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环境违法行为，营造健康的生态环境。严格执行环评审批制度，遏制高耗能、高污染、高危险项目进入，持续完善</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一园一档</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一企一档</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环保基础档案台账。高水平规划园区绿色生态系统，推进实施绿色廊道、生态公园等生态建设工程，在规划空隙地、遗忘地开展</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见缝插绿、全面覆盖</w:t>
      </w:r>
      <w:r>
        <w:rPr>
          <w:rFonts w:hint="eastAsia" w:ascii="Times New Roman" w:hAnsi="Times New Roman" w:eastAsia="仿宋_GB2312" w:cs="Times New Roman"/>
          <w:bCs/>
          <w:sz w:val="32"/>
          <w:lang w:eastAsia="zh-CN"/>
        </w:rPr>
        <w:t>”</w:t>
      </w:r>
      <w:r>
        <w:rPr>
          <w:rFonts w:hint="default" w:ascii="Times New Roman" w:hAnsi="Times New Roman" w:eastAsia="仿宋_GB2312" w:cs="Times New Roman"/>
          <w:bCs/>
          <w:sz w:val="32"/>
        </w:rPr>
        <w:t>，构建城市公园绿地五分钟服务圈。</w:t>
      </w:r>
      <w:bookmarkEnd w:id="53"/>
    </w:p>
    <w:p w14:paraId="739AE142">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55" w:name="_Toc67935930"/>
      <w:r>
        <w:rPr>
          <w:rFonts w:hint="default" w:ascii="Times New Roman" w:hAnsi="Times New Roman" w:eastAsia="楷体_GB2312" w:cs="Times New Roman"/>
          <w:bCs w:val="0"/>
          <w:color w:val="000000" w:themeColor="text1"/>
          <w14:textFill>
            <w14:solidFill>
              <w14:schemeClr w14:val="tx1"/>
            </w14:solidFill>
          </w14:textFill>
        </w:rPr>
        <w:t>3.打造安心安全生产环境</w:t>
      </w:r>
      <w:bookmarkEnd w:id="55"/>
    </w:p>
    <w:p w14:paraId="07038B0C">
      <w:pPr>
        <w:spacing w:line="560" w:lineRule="exact"/>
        <w:ind w:firstLine="643" w:firstLineChars="200"/>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完善基础设施建设。</w:t>
      </w:r>
      <w:r>
        <w:rPr>
          <w:rFonts w:hint="default" w:ascii="Times New Roman" w:hAnsi="Times New Roman" w:eastAsia="仿宋_GB2312" w:cs="Times New Roman"/>
          <w:bCs/>
          <w:sz w:val="32"/>
        </w:rPr>
        <w:t>加快推进一核三片区标准厂房、道路、供电、供水等配套设施建设，提升园区综合承载能力。重点建设一批高水平学校和医院，进一步完善公共文体设施、社区邻里中心、养老院、商务商贸等生活功能配套设施建设，优化园区综合生活环境。建立人力资源信息库和企业用工信息库，为有转移就业意愿的城乡劳动者、返乡农民工和有招聘需求的各类用人单位搭建就业供需平台。</w:t>
      </w:r>
    </w:p>
    <w:p w14:paraId="758F87E4">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加强安全生产工作。</w:t>
      </w:r>
      <w:r>
        <w:rPr>
          <w:rFonts w:hint="default" w:ascii="Times New Roman" w:hAnsi="Times New Roman" w:eastAsia="仿宋_GB2312" w:cs="Times New Roman"/>
          <w:sz w:val="32"/>
        </w:rPr>
        <w:t>坚持日常检查、隐患排查与专项治理相结合，突出抓好重点行业领域安全生产工作，深入开展危险化学品、建筑工地等领域安全生产专项整治工作，严防各类安全事故。督促各类主体建立健全安全生产责任制，明确各岗位的安全责任人、责任范围和监督考核标准等内容。开展安全生产的宣传教育，宣传推广安全生产知识和安全生产相关法律法规，定期开展应急预案综合实战演练，强化各类人员安全意识和技能。强化法治园区建设，扎实做好综治维稳、信访、劳动监察、文化市场管理工作，营造和谐稳定发展环境。</w:t>
      </w:r>
    </w:p>
    <w:p w14:paraId="179783BF">
      <w:pPr>
        <w:pStyle w:val="3"/>
        <w:widowControl/>
        <w:spacing w:before="156" w:beforeLines="50" w:after="156" w:afterLines="50" w:line="52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56" w:name="_Toc67935931"/>
      <w:r>
        <w:rPr>
          <w:rFonts w:hint="default" w:ascii="Times New Roman" w:hAnsi="Times New Roman" w:eastAsia="黑体" w:cs="Times New Roman"/>
          <w:b w:val="0"/>
          <w:bCs w:val="0"/>
          <w:color w:val="000000" w:themeColor="text1"/>
          <w14:textFill>
            <w14:solidFill>
              <w14:schemeClr w14:val="tx1"/>
            </w14:solidFill>
          </w14:textFill>
        </w:rPr>
        <w:t>（五）深化高效能改革创新，营造活力新环境</w:t>
      </w:r>
      <w:bookmarkEnd w:id="56"/>
    </w:p>
    <w:p w14:paraId="32F50A5D">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坚持以市场化理念深化实体化改革，持续推进“放管服”改革，完善政策支撑体系，探索治理模式创新，以优质政务生态和营商环境为高新区高质量发展赋能，以深化改革为高新区高质量发展提供持续动力支撑。</w:t>
      </w:r>
    </w:p>
    <w:p w14:paraId="7D7E4955">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57" w:name="_Toc67935932"/>
      <w:r>
        <w:rPr>
          <w:rFonts w:hint="default" w:ascii="Times New Roman" w:hAnsi="Times New Roman" w:eastAsia="楷体_GB2312" w:cs="Times New Roman"/>
          <w:bCs w:val="0"/>
          <w:color w:val="000000" w:themeColor="text1"/>
          <w14:textFill>
            <w14:solidFill>
              <w14:schemeClr w14:val="tx1"/>
            </w14:solidFill>
          </w14:textFill>
        </w:rPr>
        <w:t>1.以市场化理念深化实体化改革</w:t>
      </w:r>
      <w:bookmarkEnd w:id="57"/>
    </w:p>
    <w:p w14:paraId="30AF2132">
      <w:pPr>
        <w:spacing w:line="560" w:lineRule="exact"/>
        <w:ind w:firstLine="643" w:firstLineChars="200"/>
        <w:rPr>
          <w:rFonts w:hint="default" w:ascii="Times New Roman" w:hAnsi="Times New Roman" w:eastAsia="仿宋_GB2312" w:cs="Times New Roman"/>
          <w:b/>
          <w:sz w:val="32"/>
        </w:rPr>
      </w:pPr>
      <w:r>
        <w:rPr>
          <w:rFonts w:hint="default" w:ascii="Times New Roman" w:hAnsi="Times New Roman" w:eastAsia="仿宋_GB2312" w:cs="Times New Roman"/>
          <w:b/>
          <w:sz w:val="32"/>
        </w:rPr>
        <w:t>持续优化完善管委会内部运行机制。</w:t>
      </w:r>
      <w:r>
        <w:rPr>
          <w:rFonts w:hint="default" w:ascii="Times New Roman" w:hAnsi="Times New Roman" w:eastAsia="仿宋_GB2312" w:cs="Times New Roman"/>
          <w:sz w:val="32"/>
        </w:rPr>
        <w:t>按照</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小机构、大服务</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原则，进一步优化机构职能，理顺大部运行机制，构建协同管理、精简高效的服务体系。以市场化为导向，推行全员聘用制，建立人员能进能出、岗位能上能下的竞争性选人用人机制。优化绩效考核管理，建立</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高新区—部门—个人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三级绩效考核体系，完善绩效考核指标设置，加强过程性考核管理。建立与考核结构挂钩的绩效激励机制，拉开绩优与绩差人员的收入差距，并将考核结果作为职务调整、岗位变动及续聘、解聘的重要依据，实现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干多干少、干好干坏不一样</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，充分激发队伍活力。</w:t>
      </w:r>
    </w:p>
    <w:p w14:paraId="4081E827">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稳步推进融建集团市场化转型。</w:t>
      </w:r>
      <w:r>
        <w:rPr>
          <w:rFonts w:hint="default" w:ascii="Times New Roman" w:hAnsi="Times New Roman" w:eastAsia="仿宋_GB2312" w:cs="Times New Roman"/>
          <w:sz w:val="32"/>
        </w:rPr>
        <w:t>理顺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管委会+平台公司</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管理模式，厘清两者职能边界，按照市场化导向，实行政企分开、政资分开，建立市场化结算关系。引导集团开展多元化经营，拓展数据中心建设与运维、房地产开发、金融服务等经营性业务，盘活公益性资产，提高自我造血能力。支持集团创新融资模式，通过融资租赁、资产证券化、PPP等方式拓宽融资来源，缓解资金压力。加快完善集团内部管理运行机制，建立科学合理的绩效考核和薪酬激励机制，充分调动人员的工作积极性，激发公司活力。</w:t>
      </w:r>
    </w:p>
    <w:p w14:paraId="7B921332">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58" w:name="_Toc67935933"/>
      <w:r>
        <w:rPr>
          <w:rFonts w:hint="default" w:ascii="Times New Roman" w:hAnsi="Times New Roman" w:eastAsia="楷体_GB2312" w:cs="Times New Roman"/>
          <w:bCs w:val="0"/>
          <w:color w:val="000000" w:themeColor="text1"/>
          <w14:textFill>
            <w14:solidFill>
              <w14:schemeClr w14:val="tx1"/>
            </w14:solidFill>
          </w14:textFill>
        </w:rPr>
        <w:t>2.完善园区营商环境</w:t>
      </w:r>
      <w:bookmarkEnd w:id="58"/>
    </w:p>
    <w:p w14:paraId="2DC354F4">
      <w:pPr>
        <w:spacing w:line="560" w:lineRule="exact"/>
        <w:ind w:firstLine="643" w:firstLineChars="200"/>
        <w:rPr>
          <w:rFonts w:hint="default" w:ascii="Times New Roman" w:hAnsi="Times New Roman" w:eastAsia="仿宋_GB2312" w:cs="Times New Roman"/>
          <w:b/>
          <w:sz w:val="32"/>
        </w:rPr>
      </w:pPr>
      <w:r>
        <w:rPr>
          <w:rFonts w:hint="default" w:ascii="Times New Roman" w:hAnsi="Times New Roman" w:eastAsia="仿宋_GB2312" w:cs="Times New Roman"/>
          <w:b/>
          <w:sz w:val="32"/>
        </w:rPr>
        <w:t>全面深化“放管服”改革。</w:t>
      </w:r>
      <w:r>
        <w:rPr>
          <w:rFonts w:hint="default" w:ascii="Times New Roman" w:hAnsi="Times New Roman" w:eastAsia="仿宋_GB2312" w:cs="Times New Roman"/>
          <w:sz w:val="32"/>
        </w:rPr>
        <w:t>紧紧围绕《优化营商环境条例》，结合高新区实际，贯彻落实省、市优化营商环境实施办法，加快梳理部门政务服务事项，公布线上线下政务服务大厅服务清单目录，实现线上线下政务服务事项统一。切实推进政务服务标准化，提高审批办事效率。进一步落实</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一颗印章管审批</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工作，优化行政审批运行机制。完善实体政务服务大厅</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一站式</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服务功能，实现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前台综合受理、后台分类审批、综合窗口出件</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，完成</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只进一扇门</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的目标要求。持续开展</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互联网+政务服务</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，完善</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一站式惠民服务</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平台，推动政务服务事项</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一件事一次办</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掌上办</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指尖办</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。充分发挥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1对1</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企业服务工作组的作用，致力推进加快高新区重点项目落地，依托项目推进会和</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1对1</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微信工作群，为企业特别是重点企业做好行政审批业务培训及提供流程、手续清单，让企业在审批过程中少走弯路，真正</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沉下身子</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为企业做好服务。制定高新区贯彻落实好中共中央办公厅、国务院办公厅印发《关于进一步深化税收征管改革的意见》的实施方案，深入推进精准执法、精细服务、精准监管、精诚共治，充分发挥税收在国家治理中的基础性、支柱性、保障性作用，为推动高质量发展提供有力支撑。</w:t>
      </w:r>
    </w:p>
    <w:p w14:paraId="1920460C">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完善政策支撑体系。</w:t>
      </w:r>
      <w:r>
        <w:rPr>
          <w:rFonts w:hint="default" w:ascii="Times New Roman" w:hAnsi="Times New Roman" w:eastAsia="仿宋_GB2312" w:cs="Times New Roman"/>
          <w:sz w:val="32"/>
        </w:rPr>
        <w:t>围绕高新区重点产业领域，出台产业专项扶持政策，在产业项目用地、政府采购、资金扶持、创新奖励与补贴等方面加大支持力度，为新兴产业发展提供有力支撑。加快落实</w:t>
      </w:r>
      <w:r>
        <w:rPr>
          <w:rFonts w:hint="default" w:ascii="Times New Roman" w:hAnsi="Times New Roman" w:eastAsia="仿宋_GB2312" w:cs="Times New Roman"/>
          <w:sz w:val="32"/>
          <w:szCs w:val="32"/>
        </w:rPr>
        <w:t>《玉溪高新区关于加快园区企业发展的意见》</w:t>
      </w:r>
      <w:r>
        <w:rPr>
          <w:rFonts w:hint="default" w:ascii="Times New Roman" w:hAnsi="Times New Roman" w:eastAsia="仿宋_GB2312" w:cs="Times New Roman"/>
          <w:sz w:val="32"/>
        </w:rPr>
        <w:t>，加大对企业科技创新、项目建设、开放合作等的支持力度，完善《</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瞪羚</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企业认定及培育办法》，加快高成长企业培育。构建双创平台建设、双创人才发展、科技金融创新、知识产权保护等科技创新政策体系，强化平台、人才、资金等创新资源与要素支撑。</w:t>
      </w:r>
    </w:p>
    <w:p w14:paraId="060358F2">
      <w:pPr>
        <w:pStyle w:val="4"/>
        <w:spacing w:before="156" w:beforeLines="50" w:after="156" w:afterLines="50"/>
        <w:ind w:firstLine="640"/>
        <w:jc w:val="left"/>
        <w:rPr>
          <w:rFonts w:hint="default" w:ascii="Times New Roman" w:hAnsi="Times New Roman" w:eastAsia="楷体_GB2312" w:cs="Times New Roman"/>
          <w:bCs w:val="0"/>
          <w:color w:val="000000" w:themeColor="text1"/>
          <w14:textFill>
            <w14:solidFill>
              <w14:schemeClr w14:val="tx1"/>
            </w14:solidFill>
          </w14:textFill>
        </w:rPr>
      </w:pPr>
      <w:bookmarkStart w:id="59" w:name="_Toc67935934"/>
      <w:r>
        <w:rPr>
          <w:rFonts w:hint="default" w:ascii="Times New Roman" w:hAnsi="Times New Roman" w:eastAsia="楷体_GB2312" w:cs="Times New Roman"/>
          <w:bCs w:val="0"/>
          <w:color w:val="000000" w:themeColor="text1"/>
          <w14:textFill>
            <w14:solidFill>
              <w14:schemeClr w14:val="tx1"/>
            </w14:solidFill>
          </w14:textFill>
        </w:rPr>
        <w:t>3.提升创新治理能力</w:t>
      </w:r>
      <w:bookmarkEnd w:id="59"/>
    </w:p>
    <w:p w14:paraId="2ED57E4E">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探索园区治理新模式。</w:t>
      </w:r>
      <w:r>
        <w:rPr>
          <w:rFonts w:hint="default" w:ascii="Times New Roman" w:hAnsi="Times New Roman" w:eastAsia="仿宋_GB2312" w:cs="Times New Roman"/>
          <w:sz w:val="32"/>
        </w:rPr>
        <w:t>树立</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共治</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理念，吸引协会、联盟、商会、科技服务机构等社会组织和机构参与园区治理，建立产业共治委员会等多元主体共治组织。支持共治组织研究制定行业规范、团体标准，定期组织行业自律与风险自查，讨论重大项目、产业创新、资源对接等问题，积极建言献策，为政府决策提供理论支撑。实行大数据创新治理，充分利用互联网、大数据等技术手段，联合第三方机构，搭建高新区创新创业大数据平台，汇集来自政府部门、创业孵化载体、创业企业、研发机构等的多元数据，实时掌握本地科技发展动态，形成决策科学、透明实时、高效互动的数字化治理机制。加快数字政府建设，推动部门间数据汇聚共享，有效解决政府部门的信息碎片化问题，提升数字政务服务效率。</w:t>
      </w:r>
    </w:p>
    <w:p w14:paraId="46D134F8">
      <w:pPr>
        <w:spacing w:line="56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sz w:val="32"/>
        </w:rPr>
        <w:t>探索包容创新的审慎监管制度。</w:t>
      </w:r>
      <w:r>
        <w:rPr>
          <w:rFonts w:hint="default" w:ascii="Times New Roman" w:hAnsi="Times New Roman" w:eastAsia="仿宋_GB2312" w:cs="Times New Roman"/>
          <w:sz w:val="32"/>
        </w:rPr>
        <w:t>加强对新经济现象、问题与制度需求的跟踪研究，建立</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研究市场-发现问题-提出建议-制度变革</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创新促进机制，常态化开展新经济制度创新研究工作。围绕产业跨界、场景供给等开展先行先试，推行一批试点政策和专项管理制度，营造包容试错的新经济制度空间。针对新技术、新产业、新业态、新模式，建立以负面清单为主的产业准入制度，推行</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非禁即入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。实行包容审慎监管制度，改革传统审批模式，加强事中事后监管和弹性监管。</w:t>
      </w:r>
    </w:p>
    <w:p w14:paraId="2ACE6CF8">
      <w:pPr>
        <w:pStyle w:val="2"/>
        <w:spacing w:before="0" w:after="0" w:line="560" w:lineRule="exact"/>
        <w:jc w:val="center"/>
        <w:rPr>
          <w:rFonts w:hint="default" w:ascii="Times New Roman" w:hAnsi="Times New Roman" w:eastAsia="黑体" w:cs="Times New Roman"/>
          <w:sz w:val="32"/>
        </w:rPr>
      </w:pPr>
      <w:bookmarkStart w:id="60" w:name="_Toc67935935"/>
      <w:r>
        <w:rPr>
          <w:rFonts w:hint="default" w:ascii="Times New Roman" w:hAnsi="Times New Roman" w:eastAsia="黑体" w:cs="Times New Roman"/>
          <w:sz w:val="32"/>
        </w:rPr>
        <w:t>四、保障措施</w:t>
      </w:r>
      <w:bookmarkEnd w:id="60"/>
    </w:p>
    <w:p w14:paraId="7867E1CA">
      <w:pPr>
        <w:pStyle w:val="3"/>
        <w:widowControl/>
        <w:spacing w:before="156" w:beforeLines="50" w:after="156" w:afterLines="50" w:line="52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1" w:name="_Toc67935936"/>
      <w:r>
        <w:rPr>
          <w:rFonts w:hint="default" w:ascii="Times New Roman" w:hAnsi="Times New Roman" w:eastAsia="黑体" w:cs="Times New Roman"/>
          <w:b w:val="0"/>
          <w:bCs w:val="0"/>
          <w:color w:val="000000" w:themeColor="text1"/>
          <w14:textFill>
            <w14:solidFill>
              <w14:schemeClr w14:val="tx1"/>
            </w14:solidFill>
          </w14:textFill>
        </w:rPr>
        <w:t>（一）加强组织领导</w:t>
      </w:r>
      <w:bookmarkEnd w:id="61"/>
    </w:p>
    <w:p w14:paraId="7DD7D00C">
      <w:pPr>
        <w:widowControl/>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成立玉溪高新区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工作领导小组，由高新区主要领导担任组长，大部长、局办领导等担任小组成员，负责统筹研究</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规划的基本思路、重大项目、重大改革举措，全面领导和督促规划的落地执行，及时协调解决规划实施工作中出现的关键问题。积极与上级有关部门对接，争取更多的政策和资源向高新区倾斜。组建玉溪高新区发展咨询委员会，邀请专业智库、研究机构等担任决策咨询顾问，参与园区发展规划与政策制定，形成战略研究与发展决策结合的良性互动机制。定期组织开展新经济大讲堂等培训，加深领导小组成员对高质量发展及新经济培育的理解。</w:t>
      </w:r>
    </w:p>
    <w:p w14:paraId="5251B85C">
      <w:pPr>
        <w:pStyle w:val="3"/>
        <w:widowControl/>
        <w:spacing w:before="156" w:beforeLines="50" w:after="156" w:afterLines="50" w:line="52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2" w:name="_Toc67935937"/>
      <w:r>
        <w:rPr>
          <w:rFonts w:hint="default" w:ascii="Times New Roman" w:hAnsi="Times New Roman" w:eastAsia="黑体" w:cs="Times New Roman"/>
          <w:b w:val="0"/>
          <w:bCs w:val="0"/>
          <w:color w:val="000000" w:themeColor="text1"/>
          <w14:textFill>
            <w14:solidFill>
              <w14:schemeClr w14:val="tx1"/>
            </w14:solidFill>
          </w14:textFill>
        </w:rPr>
        <w:t>（二）统筹规划落实</w:t>
      </w:r>
      <w:bookmarkEnd w:id="62"/>
    </w:p>
    <w:p w14:paraId="5386DADF">
      <w:pPr>
        <w:widowControl/>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建立规划落实机制，对规划内重大项目及工作实施情况进行动态跟踪监测，定期组织开展规划实施情况评估，将落实规划作为绩效考核的重要内容和依据，并根据实际情况变化适度修订规划目标和任务。建立重大项目数据库，对重大产业项目落地、双创平台导入、基础设施建设等进行综合评估审查和分类管理，实现各部门在重大项目建设方面的信息交流和共享，确保重大项目有序推进、按时完成。</w:t>
      </w:r>
    </w:p>
    <w:p w14:paraId="34CEA263">
      <w:pPr>
        <w:pStyle w:val="3"/>
        <w:widowControl/>
        <w:spacing w:before="156" w:beforeLines="50" w:after="156" w:afterLines="50" w:line="52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3" w:name="_Toc67935938"/>
      <w:r>
        <w:rPr>
          <w:rFonts w:hint="default" w:ascii="Times New Roman" w:hAnsi="Times New Roman" w:eastAsia="黑体" w:cs="Times New Roman"/>
          <w:b w:val="0"/>
          <w:bCs w:val="0"/>
          <w:color w:val="000000" w:themeColor="text1"/>
          <w14:textFill>
            <w14:solidFill>
              <w14:schemeClr w14:val="tx1"/>
            </w14:solidFill>
          </w14:textFill>
        </w:rPr>
        <w:t>（三）优化土地供给</w:t>
      </w:r>
      <w:bookmarkEnd w:id="63"/>
    </w:p>
    <w:p w14:paraId="2B58DBB6">
      <w:pPr>
        <w:widowControl/>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积极争取市政府支持，对高新区新增建设用地指标给予倾斜，实行市级单列。加快闲置土地清理，盘活土地存量，切实加大闲置土地、厂房及僵尸企业的清理整顿力度。合理制定土地供应计划，优先保障重大产业项目和自主创新项目用地，切实保障分期建设的大中型项目的首期用地。探索</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弹性年期出让</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租赁方式使用土地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租让结合</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等新型土地出让和管理方式，提升集约节约用地水平。建立土地集约利用动态考核机制，定期对已供地项目建筑密度、生态环境、经济效益等方面进行评估与考核，为后续供地规模调控提供依据。</w:t>
      </w:r>
    </w:p>
    <w:p w14:paraId="04028739">
      <w:pPr>
        <w:pStyle w:val="3"/>
        <w:widowControl/>
        <w:spacing w:before="156" w:beforeLines="50" w:after="156" w:afterLines="50" w:line="520" w:lineRule="exact"/>
        <w:ind w:firstLine="640" w:firstLineChars="200"/>
        <w:rPr>
          <w:rFonts w:hint="default" w:ascii="Times New Roman" w:hAnsi="Times New Roman" w:eastAsia="黑体" w:cs="Times New Roman"/>
          <w:b w:val="0"/>
          <w:bCs w:val="0"/>
          <w:color w:val="000000" w:themeColor="text1"/>
          <w14:textFill>
            <w14:solidFill>
              <w14:schemeClr w14:val="tx1"/>
            </w14:solidFill>
          </w14:textFill>
        </w:rPr>
      </w:pPr>
      <w:bookmarkStart w:id="64" w:name="_Toc67935939"/>
      <w:r>
        <w:rPr>
          <w:rFonts w:hint="default" w:ascii="Times New Roman" w:hAnsi="Times New Roman" w:eastAsia="黑体" w:cs="Times New Roman"/>
          <w:b w:val="0"/>
          <w:bCs w:val="0"/>
          <w:color w:val="000000" w:themeColor="text1"/>
          <w14:textFill>
            <w14:solidFill>
              <w14:schemeClr w14:val="tx1"/>
            </w14:solidFill>
          </w14:textFill>
        </w:rPr>
        <w:t>（四）强化资金保障</w:t>
      </w:r>
      <w:bookmarkEnd w:id="64"/>
    </w:p>
    <w:p w14:paraId="1A592DFA">
      <w:pPr>
        <w:widowControl/>
        <w:spacing w:line="560" w:lineRule="exact"/>
        <w:ind w:firstLine="640" w:firstLineChars="200"/>
        <w:rPr>
          <w:rFonts w:hint="default" w:ascii="Times New Roman" w:hAnsi="Times New Roman" w:eastAsia="黑体" w:cs="Times New Roman"/>
          <w:sz w:val="32"/>
        </w:rPr>
      </w:pPr>
      <w:r>
        <w:rPr>
          <w:rFonts w:hint="default" w:ascii="Times New Roman" w:hAnsi="Times New Roman" w:eastAsia="仿宋_GB2312" w:cs="Times New Roman"/>
          <w:sz w:val="32"/>
        </w:rPr>
        <w:t>积极争取省、市加大对高新区的财税支持力度，争取调低省、市对高新区的体制上解比例，提高产业政策等支持规模，重点支持高新区产业发展、科技型企业培育、创新创业平台载体建设等。联合外贸综合服务企业、金融机构等，围绕园区企业需求，继续扩大退（垫）税资金池，进一步加快园区出口企业退税速度，解决企业资金短缺问题。充分发挥财政资金引导作用，灵活运用引导基金、贷款贴息、风险补偿、以奖代补等方式撬动社会资本，构建多元化的资金投入体系。围绕特色产业园、基础设施等</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十四五</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期间规划部署的重大项目，申报地方政府专项债，多渠道筹集资金，加快园区建设，优化投资环境。</w:t>
      </w:r>
    </w:p>
    <w:p w14:paraId="4AA18153">
      <w:pPr>
        <w:pStyle w:val="12"/>
        <w:jc w:val="left"/>
        <w:rPr>
          <w:rFonts w:hint="default" w:ascii="Times New Roman" w:hAnsi="Times New Roman" w:cs="Times New Roman"/>
        </w:rPr>
      </w:pPr>
      <w:bookmarkStart w:id="65" w:name="_Toc438726466"/>
      <w:r>
        <w:rPr>
          <w:rFonts w:hint="default" w:ascii="Times New Roman" w:hAnsi="Times New Roman" w:cs="Times New Roman"/>
        </w:rPr>
        <w:br w:type="page"/>
      </w:r>
    </w:p>
    <w:p w14:paraId="1AF1DFC5">
      <w:pPr>
        <w:pStyle w:val="12"/>
        <w:jc w:val="left"/>
        <w:rPr>
          <w:rFonts w:hint="default" w:ascii="Times New Roman" w:hAnsi="Times New Roman" w:cs="Times New Roman"/>
          <w:b w:val="0"/>
        </w:rPr>
        <w:sectPr>
          <w:pgSz w:w="11906" w:h="16838"/>
          <w:pgMar w:top="1440" w:right="1800" w:bottom="1440" w:left="1800" w:header="851" w:footer="992" w:gutter="0"/>
          <w:cols w:space="425" w:num="1"/>
          <w:docGrid w:type="lines" w:linePitch="312" w:charSpace="0"/>
        </w:sectPr>
      </w:pPr>
    </w:p>
    <w:p w14:paraId="763059C1">
      <w:pPr>
        <w:pStyle w:val="12"/>
        <w:jc w:val="left"/>
        <w:rPr>
          <w:rFonts w:hint="default" w:ascii="Times New Roman" w:hAnsi="Times New Roman" w:cs="Times New Roman"/>
          <w:b w:val="0"/>
        </w:rPr>
      </w:pPr>
      <w:bookmarkStart w:id="66" w:name="_Toc67935940"/>
      <w:r>
        <w:rPr>
          <w:rFonts w:hint="default" w:ascii="Times New Roman" w:hAnsi="Times New Roman" w:cs="Times New Roman"/>
          <w:b w:val="0"/>
        </w:rPr>
        <w:t>附录1：</w:t>
      </w:r>
      <w:bookmarkEnd w:id="65"/>
      <w:r>
        <w:rPr>
          <w:rFonts w:hint="eastAsia" w:ascii="Times New Roman" w:hAnsi="Times New Roman" w:cs="Times New Roman"/>
          <w:b w:val="0"/>
          <w:lang w:eastAsia="zh-CN"/>
        </w:rPr>
        <w:t>“</w:t>
      </w:r>
      <w:r>
        <w:rPr>
          <w:rFonts w:hint="default" w:ascii="Times New Roman" w:hAnsi="Times New Roman" w:cs="Times New Roman"/>
          <w:b w:val="0"/>
        </w:rPr>
        <w:t>十四五</w:t>
      </w:r>
      <w:r>
        <w:rPr>
          <w:rFonts w:hint="eastAsia" w:ascii="Times New Roman" w:hAnsi="Times New Roman" w:cs="Times New Roman"/>
          <w:b w:val="0"/>
          <w:lang w:eastAsia="zh-CN"/>
        </w:rPr>
        <w:t>”</w:t>
      </w:r>
      <w:r>
        <w:rPr>
          <w:rFonts w:hint="default" w:ascii="Times New Roman" w:hAnsi="Times New Roman" w:cs="Times New Roman"/>
          <w:b w:val="0"/>
        </w:rPr>
        <w:t>重大项目专项</w:t>
      </w:r>
      <w:bookmarkEnd w:id="66"/>
    </w:p>
    <w:p w14:paraId="3A906665">
      <w:pPr>
        <w:jc w:val="center"/>
        <w:rPr>
          <w:rFonts w:hint="default" w:ascii="Times New Roman" w:hAnsi="Times New Roman" w:eastAsia="仿宋_GB2312" w:cs="Times New Roman"/>
          <w:b/>
          <w:sz w:val="28"/>
        </w:rPr>
      </w:pPr>
      <w:r>
        <w:rPr>
          <w:rFonts w:hint="default" w:ascii="Times New Roman" w:hAnsi="Times New Roman" w:eastAsia="仿宋_GB2312" w:cs="Times New Roman"/>
          <w:b/>
          <w:sz w:val="28"/>
        </w:rPr>
        <w:t xml:space="preserve">表4 </w:t>
      </w:r>
      <w:r>
        <w:rPr>
          <w:rFonts w:hint="eastAsia" w:ascii="Times New Roman" w:hAnsi="Times New Roman" w:eastAsia="仿宋_GB2312" w:cs="Times New Roman"/>
          <w:b/>
          <w:sz w:val="28"/>
          <w:lang w:eastAsia="zh-CN"/>
        </w:rPr>
        <w:t>“</w:t>
      </w:r>
      <w:r>
        <w:rPr>
          <w:rFonts w:hint="default" w:ascii="Times New Roman" w:hAnsi="Times New Roman" w:eastAsia="仿宋_GB2312" w:cs="Times New Roman"/>
          <w:b/>
          <w:sz w:val="28"/>
        </w:rPr>
        <w:t>十四五</w:t>
      </w:r>
      <w:r>
        <w:rPr>
          <w:rFonts w:hint="eastAsia" w:ascii="Times New Roman" w:hAnsi="Times New Roman" w:eastAsia="仿宋_GB2312" w:cs="Times New Roman"/>
          <w:b/>
          <w:sz w:val="28"/>
          <w:lang w:eastAsia="zh-CN"/>
        </w:rPr>
        <w:t>”</w:t>
      </w:r>
      <w:r>
        <w:rPr>
          <w:rFonts w:hint="default" w:ascii="Times New Roman" w:hAnsi="Times New Roman" w:eastAsia="仿宋_GB2312" w:cs="Times New Roman"/>
          <w:b/>
          <w:sz w:val="28"/>
        </w:rPr>
        <w:t>重大项目专项</w:t>
      </w:r>
    </w:p>
    <w:tbl>
      <w:tblPr>
        <w:tblStyle w:val="14"/>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76"/>
        <w:gridCol w:w="2127"/>
        <w:gridCol w:w="1701"/>
        <w:gridCol w:w="6656"/>
        <w:gridCol w:w="1418"/>
      </w:tblGrid>
      <w:tr w14:paraId="666D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trPr>
        <w:tc>
          <w:tcPr>
            <w:tcW w:w="709" w:type="dxa"/>
            <w:shd w:val="clear" w:color="auto" w:fill="auto"/>
            <w:vAlign w:val="center"/>
          </w:tcPr>
          <w:p w14:paraId="7E9DEAB3">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序号</w:t>
            </w:r>
          </w:p>
        </w:tc>
        <w:tc>
          <w:tcPr>
            <w:tcW w:w="1276" w:type="dxa"/>
            <w:shd w:val="clear" w:color="auto" w:fill="auto"/>
            <w:vAlign w:val="center"/>
          </w:tcPr>
          <w:p w14:paraId="675A55A8">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领域</w:t>
            </w:r>
          </w:p>
        </w:tc>
        <w:tc>
          <w:tcPr>
            <w:tcW w:w="2127" w:type="dxa"/>
            <w:shd w:val="clear" w:color="auto" w:fill="auto"/>
            <w:vAlign w:val="center"/>
          </w:tcPr>
          <w:p w14:paraId="5DA53415">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项目名称</w:t>
            </w:r>
          </w:p>
        </w:tc>
        <w:tc>
          <w:tcPr>
            <w:tcW w:w="1701" w:type="dxa"/>
            <w:shd w:val="clear" w:color="auto" w:fill="auto"/>
            <w:vAlign w:val="center"/>
          </w:tcPr>
          <w:p w14:paraId="6CCC0AD1">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主要依托单位</w:t>
            </w:r>
          </w:p>
        </w:tc>
        <w:tc>
          <w:tcPr>
            <w:tcW w:w="6656" w:type="dxa"/>
            <w:shd w:val="clear" w:color="auto" w:fill="auto"/>
            <w:vAlign w:val="center"/>
          </w:tcPr>
          <w:p w14:paraId="19E23552">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项目内容</w:t>
            </w:r>
          </w:p>
        </w:tc>
        <w:tc>
          <w:tcPr>
            <w:tcW w:w="1418" w:type="dxa"/>
            <w:shd w:val="clear" w:color="auto" w:fill="auto"/>
            <w:vAlign w:val="center"/>
          </w:tcPr>
          <w:p w14:paraId="1F2EC280">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实施年限</w:t>
            </w:r>
          </w:p>
        </w:tc>
      </w:tr>
      <w:tr w14:paraId="25A8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709" w:type="dxa"/>
            <w:shd w:val="clear" w:color="auto" w:fill="auto"/>
            <w:noWrap/>
            <w:vAlign w:val="center"/>
          </w:tcPr>
          <w:p w14:paraId="1A9D942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1276" w:type="dxa"/>
            <w:vMerge w:val="restart"/>
            <w:shd w:val="clear" w:color="auto" w:fill="auto"/>
            <w:vAlign w:val="center"/>
          </w:tcPr>
          <w:p w14:paraId="47F0501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卷烟及配套</w:t>
            </w:r>
          </w:p>
        </w:tc>
        <w:tc>
          <w:tcPr>
            <w:tcW w:w="2127" w:type="dxa"/>
            <w:shd w:val="clear" w:color="auto" w:fill="auto"/>
            <w:vAlign w:val="center"/>
          </w:tcPr>
          <w:p w14:paraId="28B806C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红塔集团玉溪卷烟厂就地技术改造项目</w:t>
            </w:r>
          </w:p>
        </w:tc>
        <w:tc>
          <w:tcPr>
            <w:tcW w:w="1701" w:type="dxa"/>
            <w:shd w:val="clear" w:color="auto" w:fill="auto"/>
            <w:vAlign w:val="center"/>
          </w:tcPr>
          <w:p w14:paraId="7539010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红塔集团</w:t>
            </w:r>
          </w:p>
        </w:tc>
        <w:tc>
          <w:tcPr>
            <w:tcW w:w="6656" w:type="dxa"/>
            <w:shd w:val="clear" w:color="auto" w:fill="auto"/>
            <w:vAlign w:val="center"/>
          </w:tcPr>
          <w:p w14:paraId="06C4921F">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23亿元。玉溪卷烟厂按1100亿支（220万箱）/年的生产规模进行规划，其中,一号联合生产工房生产能力700亿支（140万箱）/年，二号联合生产工房生产能力400亿支（80万箱）/年。项目新建扩建建筑面积102980平方米，改造建筑面积146274平方米。目前在施工图设计阶段。</w:t>
            </w:r>
          </w:p>
        </w:tc>
        <w:tc>
          <w:tcPr>
            <w:tcW w:w="1418" w:type="dxa"/>
            <w:shd w:val="clear" w:color="auto" w:fill="auto"/>
            <w:vAlign w:val="center"/>
          </w:tcPr>
          <w:p w14:paraId="674442E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1C7F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09" w:type="dxa"/>
            <w:shd w:val="clear" w:color="auto" w:fill="auto"/>
            <w:noWrap/>
            <w:vAlign w:val="center"/>
          </w:tcPr>
          <w:p w14:paraId="54E07D2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1276" w:type="dxa"/>
            <w:vMerge w:val="continue"/>
            <w:vAlign w:val="center"/>
          </w:tcPr>
          <w:p w14:paraId="1BB4C4E6">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6AEBFD4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年产7万吨BOPP薄膜改扩建项目</w:t>
            </w:r>
          </w:p>
        </w:tc>
        <w:tc>
          <w:tcPr>
            <w:tcW w:w="1701" w:type="dxa"/>
            <w:shd w:val="clear" w:color="auto" w:fill="auto"/>
            <w:vAlign w:val="center"/>
          </w:tcPr>
          <w:p w14:paraId="7631A3E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云南红塔塑胶有限公司</w:t>
            </w:r>
          </w:p>
        </w:tc>
        <w:tc>
          <w:tcPr>
            <w:tcW w:w="6656" w:type="dxa"/>
            <w:shd w:val="clear" w:color="auto" w:fill="auto"/>
            <w:vAlign w:val="center"/>
          </w:tcPr>
          <w:p w14:paraId="2791098A">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计划投资3.6亿元。用地110亩，建筑面积33000平方米，其中：车间厂房23000平方米，原料、成品库8000平方米，生产研发中心等2000平方米。技改扩建生产线３条，形成年产7万吨功能性薄膜的生产能力。</w:t>
            </w:r>
          </w:p>
        </w:tc>
        <w:tc>
          <w:tcPr>
            <w:tcW w:w="1418" w:type="dxa"/>
            <w:shd w:val="clear" w:color="auto" w:fill="auto"/>
            <w:vAlign w:val="center"/>
          </w:tcPr>
          <w:p w14:paraId="3D86208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w:t>
            </w:r>
          </w:p>
        </w:tc>
      </w:tr>
      <w:tr w14:paraId="033C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9" w:type="dxa"/>
            <w:shd w:val="clear" w:color="auto" w:fill="auto"/>
            <w:noWrap/>
            <w:vAlign w:val="center"/>
          </w:tcPr>
          <w:p w14:paraId="1DF34F3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c>
          <w:tcPr>
            <w:tcW w:w="1276" w:type="dxa"/>
            <w:vMerge w:val="continue"/>
            <w:vAlign w:val="center"/>
          </w:tcPr>
          <w:p w14:paraId="7F71B138">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0F32C82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100吨烟碱及烟用香精香料生产线项目</w:t>
            </w:r>
          </w:p>
        </w:tc>
        <w:tc>
          <w:tcPr>
            <w:tcW w:w="1701" w:type="dxa"/>
            <w:shd w:val="clear" w:color="auto" w:fill="auto"/>
            <w:vAlign w:val="center"/>
          </w:tcPr>
          <w:p w14:paraId="30A8885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132EDE2F">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计划投资0.32亿元。租用玉溪环境清洁中心厂房3134平方米，办公楼500平方米，建设年产100吨烟碱，5吨烟用香精香料生产线。</w:t>
            </w:r>
          </w:p>
        </w:tc>
        <w:tc>
          <w:tcPr>
            <w:tcW w:w="1418" w:type="dxa"/>
            <w:shd w:val="clear" w:color="auto" w:fill="auto"/>
            <w:vAlign w:val="center"/>
          </w:tcPr>
          <w:p w14:paraId="1AEC05F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w:t>
            </w:r>
          </w:p>
        </w:tc>
      </w:tr>
      <w:tr w14:paraId="105D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shd w:val="clear" w:color="auto" w:fill="auto"/>
            <w:noWrap/>
            <w:vAlign w:val="center"/>
          </w:tcPr>
          <w:p w14:paraId="7B8FD63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c>
          <w:tcPr>
            <w:tcW w:w="1276" w:type="dxa"/>
            <w:vMerge w:val="restart"/>
            <w:shd w:val="clear" w:color="auto" w:fill="auto"/>
            <w:vAlign w:val="center"/>
          </w:tcPr>
          <w:p w14:paraId="39CD7DD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先进装备制造</w:t>
            </w:r>
          </w:p>
        </w:tc>
        <w:tc>
          <w:tcPr>
            <w:tcW w:w="2127" w:type="dxa"/>
            <w:shd w:val="clear" w:color="auto" w:fill="auto"/>
            <w:vAlign w:val="center"/>
          </w:tcPr>
          <w:p w14:paraId="49734FA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云南高端数控园基础设施及配套建设项目</w:t>
            </w:r>
          </w:p>
        </w:tc>
        <w:tc>
          <w:tcPr>
            <w:tcW w:w="1701" w:type="dxa"/>
            <w:shd w:val="clear" w:color="auto" w:fill="auto"/>
            <w:vAlign w:val="center"/>
          </w:tcPr>
          <w:p w14:paraId="0CBE6A2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17DB455D">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计划投资2.5亿元。项目用地133亩，建设标准厂房及配套设施面积6.31万平方米，同时建立机床产业大数据及应用平台，推动现有机床制造能力数字化转型，打造全国性数控机床品牌。</w:t>
            </w:r>
          </w:p>
        </w:tc>
        <w:tc>
          <w:tcPr>
            <w:tcW w:w="1418" w:type="dxa"/>
            <w:shd w:val="clear" w:color="auto" w:fill="auto"/>
            <w:vAlign w:val="center"/>
          </w:tcPr>
          <w:p w14:paraId="295C1BB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4FDB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709" w:type="dxa"/>
            <w:shd w:val="clear" w:color="auto" w:fill="auto"/>
            <w:noWrap/>
            <w:vAlign w:val="center"/>
          </w:tcPr>
          <w:p w14:paraId="0E72466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c>
          <w:tcPr>
            <w:tcW w:w="1276" w:type="dxa"/>
            <w:vMerge w:val="continue"/>
            <w:vAlign w:val="center"/>
          </w:tcPr>
          <w:p w14:paraId="298B8AE2">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155F176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玉溪机床产业转型升级示范项目</w:t>
            </w:r>
          </w:p>
        </w:tc>
        <w:tc>
          <w:tcPr>
            <w:tcW w:w="1701" w:type="dxa"/>
            <w:shd w:val="clear" w:color="auto" w:fill="auto"/>
            <w:vAlign w:val="center"/>
          </w:tcPr>
          <w:p w14:paraId="10CC9B0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1EB27FBB">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亿元。主要开展工作：1.基于互联网建立设计平台，制定统一的设计研发标准和工具开展机床产品的协同创新设计；2.供应链及生产管理平台：建立覆盖供应链及OEM厂的供应链及生产管理平台；3.建立玉溪市智能制造工程技术中心，围绕机床产业及数字化转型开展人才及技术引进、学术交流、产品研发等工作。（1.数控机床产业平台建设；2.示范工厂建设；3.研发机构、检测设备建设。）</w:t>
            </w:r>
          </w:p>
        </w:tc>
        <w:tc>
          <w:tcPr>
            <w:tcW w:w="1418" w:type="dxa"/>
            <w:shd w:val="clear" w:color="auto" w:fill="auto"/>
            <w:vAlign w:val="center"/>
          </w:tcPr>
          <w:p w14:paraId="271B5DB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1D89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709" w:type="dxa"/>
            <w:shd w:val="clear" w:color="auto" w:fill="auto"/>
            <w:noWrap/>
            <w:vAlign w:val="center"/>
          </w:tcPr>
          <w:p w14:paraId="12C0060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w:t>
            </w:r>
          </w:p>
        </w:tc>
        <w:tc>
          <w:tcPr>
            <w:tcW w:w="1276" w:type="dxa"/>
            <w:vMerge w:val="continue"/>
            <w:vAlign w:val="center"/>
          </w:tcPr>
          <w:p w14:paraId="425555EE">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782EB95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产能置换年产42万吨合金钢转型升级项目</w:t>
            </w:r>
          </w:p>
        </w:tc>
        <w:tc>
          <w:tcPr>
            <w:tcW w:w="1701" w:type="dxa"/>
            <w:shd w:val="clear" w:color="auto" w:fill="auto"/>
            <w:vAlign w:val="center"/>
          </w:tcPr>
          <w:p w14:paraId="57BD53D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云南太标精工铸造有限公司</w:t>
            </w:r>
          </w:p>
        </w:tc>
        <w:tc>
          <w:tcPr>
            <w:tcW w:w="6656" w:type="dxa"/>
            <w:shd w:val="clear" w:color="auto" w:fill="auto"/>
            <w:vAlign w:val="center"/>
          </w:tcPr>
          <w:p w14:paraId="0A26520B">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计划投资20亿元。炼钢、轧钢生产线；年产42万吨合金钢生产线主要装备建设1x67t电炉、1x67t LF炉、1x67t VD炉、连铸机、高速线材轧机及配套公辅设施等；年产40万吨废钢加工生产线；110kv变电站及配套电力设施等；主要建筑物建设炼钢车间、连铸车间、轧钢车间、高线车间及公辅车间、废钢加工车间等；项目燃气、热力管网、检化验中心、给排水设施、区域管网、道路、场地和绿化等。</w:t>
            </w:r>
          </w:p>
        </w:tc>
        <w:tc>
          <w:tcPr>
            <w:tcW w:w="1418" w:type="dxa"/>
            <w:shd w:val="clear" w:color="auto" w:fill="auto"/>
            <w:vAlign w:val="center"/>
          </w:tcPr>
          <w:p w14:paraId="34E5330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22D2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709" w:type="dxa"/>
            <w:shd w:val="clear" w:color="auto" w:fill="auto"/>
            <w:noWrap/>
            <w:vAlign w:val="center"/>
          </w:tcPr>
          <w:p w14:paraId="4073F6A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w:t>
            </w:r>
          </w:p>
        </w:tc>
        <w:tc>
          <w:tcPr>
            <w:tcW w:w="1276" w:type="dxa"/>
            <w:vMerge w:val="continue"/>
            <w:vAlign w:val="center"/>
          </w:tcPr>
          <w:p w14:paraId="0A498763">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553FF21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铸锻件全产业链供应提升项目</w:t>
            </w:r>
          </w:p>
        </w:tc>
        <w:tc>
          <w:tcPr>
            <w:tcW w:w="1701" w:type="dxa"/>
            <w:shd w:val="clear" w:color="auto" w:fill="auto"/>
            <w:vAlign w:val="center"/>
          </w:tcPr>
          <w:p w14:paraId="5A9A718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云南太标精工铸造有限公司</w:t>
            </w:r>
          </w:p>
        </w:tc>
        <w:tc>
          <w:tcPr>
            <w:tcW w:w="6656" w:type="dxa"/>
            <w:shd w:val="clear" w:color="auto" w:fill="auto"/>
            <w:vAlign w:val="center"/>
          </w:tcPr>
          <w:p w14:paraId="6A82A4BB">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6亿元。新建铸造车间、铸钢锻造车间、综合办公楼，铸造车间布置2座10吨一拖三中频炉、1座10吨一拖二中频炉、树脂砂自动造型线三条（手动造型线四条）、黏土砂造型线一条、V法造型线一条、消失模自动化生产线一条、3D打印铸造砂型线及相关砂处理线各一条；铸钢锻造车间布置1座30吨电弧炉、1套30吨LF精炼炉、1套30吨VD炉、模铸生产线一条、连铸生产线一条、10万吨锻件加工生产线一条、10吨单相气氛保护电渣炉2座、铸铁机2条；配套铸件抛丸、清砂打磨、退火炉、喷漆线等工艺设备及环保除尘、电炉渣处理、公辅设施等。</w:t>
            </w:r>
          </w:p>
        </w:tc>
        <w:tc>
          <w:tcPr>
            <w:tcW w:w="1418" w:type="dxa"/>
            <w:shd w:val="clear" w:color="auto" w:fill="auto"/>
            <w:vAlign w:val="center"/>
          </w:tcPr>
          <w:p w14:paraId="39DF06C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5D78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shd w:val="clear" w:color="auto" w:fill="auto"/>
            <w:noWrap/>
            <w:vAlign w:val="center"/>
          </w:tcPr>
          <w:p w14:paraId="5F7BBBA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w:t>
            </w:r>
          </w:p>
        </w:tc>
        <w:tc>
          <w:tcPr>
            <w:tcW w:w="1276" w:type="dxa"/>
            <w:vMerge w:val="continue"/>
            <w:vAlign w:val="center"/>
          </w:tcPr>
          <w:p w14:paraId="17926AC7">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43F1F32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高端数控机床铸件智能化加工生产线</w:t>
            </w:r>
          </w:p>
        </w:tc>
        <w:tc>
          <w:tcPr>
            <w:tcW w:w="1701" w:type="dxa"/>
            <w:shd w:val="clear" w:color="auto" w:fill="auto"/>
            <w:vAlign w:val="center"/>
          </w:tcPr>
          <w:p w14:paraId="3C91482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云南太标数控机床有限公司</w:t>
            </w:r>
          </w:p>
        </w:tc>
        <w:tc>
          <w:tcPr>
            <w:tcW w:w="6656" w:type="dxa"/>
            <w:shd w:val="clear" w:color="auto" w:fill="auto"/>
            <w:vAlign w:val="center"/>
          </w:tcPr>
          <w:p w14:paraId="3A317B19">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计划投资5亿元。购置国内外先进生产设备324台套，检测设备21台套，引进智能化生产管理系统，形成年产12万吨高端数控机床铸件的智能化加工生产线。</w:t>
            </w:r>
          </w:p>
        </w:tc>
        <w:tc>
          <w:tcPr>
            <w:tcW w:w="1418" w:type="dxa"/>
            <w:shd w:val="clear" w:color="auto" w:fill="auto"/>
            <w:vAlign w:val="center"/>
          </w:tcPr>
          <w:p w14:paraId="4F8928C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5FDF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shd w:val="clear" w:color="auto" w:fill="auto"/>
            <w:noWrap/>
            <w:vAlign w:val="center"/>
          </w:tcPr>
          <w:p w14:paraId="539DDB9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w:t>
            </w:r>
          </w:p>
        </w:tc>
        <w:tc>
          <w:tcPr>
            <w:tcW w:w="1276" w:type="dxa"/>
            <w:vMerge w:val="continue"/>
            <w:vAlign w:val="center"/>
          </w:tcPr>
          <w:p w14:paraId="7D9A3B74">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5249422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年产40万吨球墨铸管项目</w:t>
            </w:r>
          </w:p>
        </w:tc>
        <w:tc>
          <w:tcPr>
            <w:tcW w:w="1701" w:type="dxa"/>
            <w:shd w:val="clear" w:color="auto" w:fill="auto"/>
            <w:vAlign w:val="center"/>
          </w:tcPr>
          <w:p w14:paraId="621F97F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云南太标精工铸造有限公司</w:t>
            </w:r>
          </w:p>
        </w:tc>
        <w:tc>
          <w:tcPr>
            <w:tcW w:w="6656" w:type="dxa"/>
            <w:shd w:val="clear" w:color="auto" w:fill="auto"/>
            <w:vAlign w:val="center"/>
          </w:tcPr>
          <w:p w14:paraId="51FA2720">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计划投资12亿元。建设年产40万吨球墨铸管生产线项目，弥补西南市场球墨铸管生产的空白。建设DN1200～2200mm大口径离心球墨铸管生产线1条、DN80～1200mm小口径铸管生产线2条。</w:t>
            </w:r>
          </w:p>
        </w:tc>
        <w:tc>
          <w:tcPr>
            <w:tcW w:w="1418" w:type="dxa"/>
            <w:shd w:val="clear" w:color="auto" w:fill="auto"/>
            <w:vAlign w:val="center"/>
          </w:tcPr>
          <w:p w14:paraId="2F6D3DF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5953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trPr>
        <w:tc>
          <w:tcPr>
            <w:tcW w:w="709" w:type="dxa"/>
            <w:shd w:val="clear" w:color="auto" w:fill="auto"/>
            <w:noWrap/>
            <w:vAlign w:val="center"/>
          </w:tcPr>
          <w:p w14:paraId="130C9C7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10</w:t>
            </w:r>
          </w:p>
        </w:tc>
        <w:tc>
          <w:tcPr>
            <w:tcW w:w="1276" w:type="dxa"/>
            <w:vMerge w:val="continue"/>
            <w:vAlign w:val="center"/>
          </w:tcPr>
          <w:p w14:paraId="7FD6F17C">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6850E4A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钢铁产能优化改造提升项目</w:t>
            </w:r>
          </w:p>
        </w:tc>
        <w:tc>
          <w:tcPr>
            <w:tcW w:w="1701" w:type="dxa"/>
            <w:shd w:val="clear" w:color="auto" w:fill="auto"/>
            <w:vAlign w:val="center"/>
          </w:tcPr>
          <w:p w14:paraId="6FA2BC1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玉溪新兴钢铁有限公司</w:t>
            </w:r>
          </w:p>
        </w:tc>
        <w:tc>
          <w:tcPr>
            <w:tcW w:w="6656" w:type="dxa"/>
            <w:shd w:val="clear" w:color="auto" w:fill="auto"/>
            <w:vAlign w:val="center"/>
          </w:tcPr>
          <w:p w14:paraId="424C5E4C">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50亿元。原址扩建为铁产能270万吨/年、钢产能270万吨/年的钢铁企业。拟建方案：1、新建满足铁产能270万吨/年的钒钛球球团矿厂；2、拆除现有2×105m2烧结机，保留现有1×260m2烧结机的基础上，新建一台1×260m2烧结机；3、拆除1#、2#高炉，在原址新建4#高炉。新建4#高炉预计为1780m3高炉；利用高炉大修时机，将现有3#1080m3高炉进行扩容至1280m3高炉，以达到铁产能270万吨/年，实际年产300万吨/年；4、按照钒钛矿冶炼提钒炼钢生产模式，围绕钢产能达到270万吨/年，实际年产320万吨/年，利用原120t提钒炉、原2×120t铁水预处理设施，确定转炉炼钢车间布局。5、充分提升玉钢公司现有棒材线和中宽带轧线，结合云南省周边国家及省内产品需求及新区二期规划，相应配置1条线材生产线，将最大钢产能320万吨/年全部加工成热轧材销售。</w:t>
            </w:r>
          </w:p>
        </w:tc>
        <w:tc>
          <w:tcPr>
            <w:tcW w:w="1418" w:type="dxa"/>
            <w:shd w:val="clear" w:color="auto" w:fill="auto"/>
            <w:vAlign w:val="center"/>
          </w:tcPr>
          <w:p w14:paraId="248EC2B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5894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709" w:type="dxa"/>
            <w:shd w:val="clear" w:color="auto" w:fill="auto"/>
            <w:noWrap/>
            <w:vAlign w:val="center"/>
          </w:tcPr>
          <w:p w14:paraId="6C7458E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11</w:t>
            </w:r>
          </w:p>
        </w:tc>
        <w:tc>
          <w:tcPr>
            <w:tcW w:w="1276" w:type="dxa"/>
            <w:vMerge w:val="continue"/>
            <w:vAlign w:val="center"/>
          </w:tcPr>
          <w:p w14:paraId="313B63F2">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3F070AE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3D 打印智能工厂建设项目</w:t>
            </w:r>
          </w:p>
        </w:tc>
        <w:tc>
          <w:tcPr>
            <w:tcW w:w="1701" w:type="dxa"/>
            <w:shd w:val="clear" w:color="auto" w:fill="auto"/>
            <w:vAlign w:val="center"/>
          </w:tcPr>
          <w:p w14:paraId="733E295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优铸科技（北京）有限公司</w:t>
            </w:r>
          </w:p>
        </w:tc>
        <w:tc>
          <w:tcPr>
            <w:tcW w:w="6656" w:type="dxa"/>
            <w:shd w:val="clear" w:color="auto" w:fill="auto"/>
            <w:vAlign w:val="center"/>
          </w:tcPr>
          <w:p w14:paraId="09AB0C5D">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计划投资4.5亿元。以3D 打印技术与铸造工艺技术深度融合，从事高端铸造产品的生产制造业务，建设高端铸造智能工厂。项目选址位于数控机床产业园区南侧，占地约113亩，总建筑面积约4万平方米，分二期建设，其中：一期占地约51亩，建筑总面积1.98万平方米（包括管理及研发中心2000平方米，厂房1.74万平方米）；二期占地62亩，建筑总面积2.02万平方米（其中厂房建筑面积3.87万平方米）</w:t>
            </w:r>
          </w:p>
        </w:tc>
        <w:tc>
          <w:tcPr>
            <w:tcW w:w="1418" w:type="dxa"/>
            <w:shd w:val="clear" w:color="auto" w:fill="auto"/>
            <w:vAlign w:val="center"/>
          </w:tcPr>
          <w:p w14:paraId="19A77F4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2021-2023</w:t>
            </w:r>
          </w:p>
        </w:tc>
      </w:tr>
      <w:tr w14:paraId="2792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709" w:type="dxa"/>
            <w:shd w:val="clear" w:color="auto" w:fill="auto"/>
            <w:noWrap/>
            <w:vAlign w:val="center"/>
          </w:tcPr>
          <w:p w14:paraId="5276C1C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12</w:t>
            </w:r>
          </w:p>
        </w:tc>
        <w:tc>
          <w:tcPr>
            <w:tcW w:w="1276" w:type="dxa"/>
            <w:vMerge w:val="continue"/>
            <w:vAlign w:val="center"/>
          </w:tcPr>
          <w:p w14:paraId="435AF81E">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691615F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数控机床智能研发及技术改造项目</w:t>
            </w:r>
          </w:p>
        </w:tc>
        <w:tc>
          <w:tcPr>
            <w:tcW w:w="1701" w:type="dxa"/>
            <w:shd w:val="clear" w:color="auto" w:fill="auto"/>
            <w:vAlign w:val="center"/>
          </w:tcPr>
          <w:p w14:paraId="65C8639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云南正成工精密机械有限公司</w:t>
            </w:r>
          </w:p>
        </w:tc>
        <w:tc>
          <w:tcPr>
            <w:tcW w:w="6656" w:type="dxa"/>
            <w:shd w:val="clear" w:color="auto" w:fill="auto"/>
            <w:vAlign w:val="center"/>
          </w:tcPr>
          <w:p w14:paraId="7D538A5D">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9000万元。租用玉溪研和土地开发投资有限公司新建标准厂房3000平方米进行装修改造，通过硬件设施的建设和配制、硬件改造以及配套的公用工程、新增检测仪器、研发设备的购置配备、通过设计开发、检测、分析软件、实施项目的人才招募、研发团队组建，筹建企业研发中心；新增龙门、五面体加工中心等生产设备，实施企业生产线技改升级提质增效，形成年产10000台数控机床光机生产和整机试验的产能。</w:t>
            </w:r>
          </w:p>
        </w:tc>
        <w:tc>
          <w:tcPr>
            <w:tcW w:w="1418" w:type="dxa"/>
            <w:shd w:val="clear" w:color="auto" w:fill="auto"/>
            <w:vAlign w:val="center"/>
          </w:tcPr>
          <w:p w14:paraId="67B7D6D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499D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2" w:hRule="atLeast"/>
        </w:trPr>
        <w:tc>
          <w:tcPr>
            <w:tcW w:w="709" w:type="dxa"/>
            <w:shd w:val="clear" w:color="auto" w:fill="auto"/>
            <w:noWrap/>
            <w:vAlign w:val="center"/>
          </w:tcPr>
          <w:p w14:paraId="3057AB4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13</w:t>
            </w:r>
          </w:p>
        </w:tc>
        <w:tc>
          <w:tcPr>
            <w:tcW w:w="1276" w:type="dxa"/>
            <w:vMerge w:val="continue"/>
            <w:vAlign w:val="center"/>
          </w:tcPr>
          <w:p w14:paraId="69247E71">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2BB34A2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云南省制造业产业集群（机床行业）数字化转型示范项目</w:t>
            </w:r>
          </w:p>
        </w:tc>
        <w:tc>
          <w:tcPr>
            <w:tcW w:w="1701" w:type="dxa"/>
            <w:shd w:val="clear" w:color="auto" w:fill="auto"/>
            <w:vAlign w:val="center"/>
          </w:tcPr>
          <w:p w14:paraId="1C1C78E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47974E85">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亿元。1.园区数字化基础设施，提升园区信息通信基础能力，实现园区全光纤链接、5G/物联网网络全覆盖，完善集聚园区高速、泛在、融合、便捷的网络服务，提升园区内部管理服务网络和企业内外网建设水平，满足数据流动、泛在云服务的网络要求。建设园区物联感知网络，满足园区实时监控和企业全面数字化改造需求。构建</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云边端</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相结合的信息基础设施，针对不同层级提供数据存储、交换、计算、处理等功能，夯实园区数据底座。2.建立园区综合数字化管理服务平台，充分利用物联网技术，构建园区基础设施、安全防范、公共服务、设施管理的数字化体系。3.机床行业工业互联网应用平台，以建设我省机床行业工业互联网公共应用平台，面向行业和产业链上下游企业提供信息化基础设施、物联网接入、云化应用部署和服务能力，汇聚行业资源和要素，构筑全流程、全产业链、全生命周期的工业数据链接，为园区数字化改造化数字化转型提供服务，为开展基于互联网的联合研发创新和发展先进制造模式提供支撑。</w:t>
            </w:r>
          </w:p>
        </w:tc>
        <w:tc>
          <w:tcPr>
            <w:tcW w:w="1418" w:type="dxa"/>
            <w:shd w:val="clear" w:color="auto" w:fill="auto"/>
            <w:vAlign w:val="center"/>
          </w:tcPr>
          <w:p w14:paraId="5245BF8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4C68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709" w:type="dxa"/>
            <w:shd w:val="clear" w:color="auto" w:fill="auto"/>
            <w:noWrap/>
            <w:vAlign w:val="center"/>
          </w:tcPr>
          <w:p w14:paraId="3BEB57A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14</w:t>
            </w:r>
          </w:p>
        </w:tc>
        <w:tc>
          <w:tcPr>
            <w:tcW w:w="1276" w:type="dxa"/>
            <w:vMerge w:val="continue"/>
            <w:vAlign w:val="center"/>
          </w:tcPr>
          <w:p w14:paraId="2827DF51">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7E8A1F3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年产1万吨装配式钢构及年产700台多用途晶体生产线</w:t>
            </w:r>
          </w:p>
        </w:tc>
        <w:tc>
          <w:tcPr>
            <w:tcW w:w="1701" w:type="dxa"/>
            <w:shd w:val="clear" w:color="auto" w:fill="auto"/>
            <w:vAlign w:val="center"/>
          </w:tcPr>
          <w:p w14:paraId="3B366AD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玉溪市恒达空间钢结构有限公司</w:t>
            </w:r>
          </w:p>
        </w:tc>
        <w:tc>
          <w:tcPr>
            <w:tcW w:w="6656" w:type="dxa"/>
            <w:shd w:val="clear" w:color="auto" w:fill="auto"/>
            <w:vAlign w:val="center"/>
          </w:tcPr>
          <w:p w14:paraId="4C20D919">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1.4亿元。新建重钢生产线一条，将满足玉溪仙福钢铁、玉昆钢铁项目建设；新建晶体生长设备生产线一条，年产700台多用途晶体生长设备，该设备主要销售给晶体生产厂家，投入生长4-6英寸蓝宝石晶体基片及大直径窗口晶体材料，以及其他晶体材料等。</w:t>
            </w:r>
          </w:p>
        </w:tc>
        <w:tc>
          <w:tcPr>
            <w:tcW w:w="1418" w:type="dxa"/>
            <w:shd w:val="clear" w:color="auto" w:fill="auto"/>
            <w:vAlign w:val="center"/>
          </w:tcPr>
          <w:p w14:paraId="575DBAC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5D61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709" w:type="dxa"/>
            <w:shd w:val="clear" w:color="auto" w:fill="auto"/>
            <w:noWrap/>
            <w:vAlign w:val="center"/>
          </w:tcPr>
          <w:p w14:paraId="53204CC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15</w:t>
            </w:r>
          </w:p>
        </w:tc>
        <w:tc>
          <w:tcPr>
            <w:tcW w:w="1276" w:type="dxa"/>
            <w:vMerge w:val="continue"/>
            <w:vAlign w:val="center"/>
          </w:tcPr>
          <w:p w14:paraId="6E438E5B">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5414B2F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年产120万吨水泥粉磨生产线项目</w:t>
            </w:r>
          </w:p>
        </w:tc>
        <w:tc>
          <w:tcPr>
            <w:tcW w:w="1701" w:type="dxa"/>
            <w:shd w:val="clear" w:color="auto" w:fill="auto"/>
            <w:vAlign w:val="center"/>
          </w:tcPr>
          <w:p w14:paraId="760ED66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云南省活发集团刘总旗水泥有限公司</w:t>
            </w:r>
          </w:p>
        </w:tc>
        <w:tc>
          <w:tcPr>
            <w:tcW w:w="6656" w:type="dxa"/>
            <w:shd w:val="clear" w:color="auto" w:fill="auto"/>
            <w:vAlign w:val="center"/>
          </w:tcPr>
          <w:p w14:paraId="5E51C83C">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计划投资1.1亿元。年产120万吨水泥粉磨生产线 </w:t>
            </w:r>
          </w:p>
        </w:tc>
        <w:tc>
          <w:tcPr>
            <w:tcW w:w="1418" w:type="dxa"/>
            <w:shd w:val="clear" w:color="auto" w:fill="auto"/>
            <w:vAlign w:val="center"/>
          </w:tcPr>
          <w:p w14:paraId="1965A42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w:t>
            </w:r>
          </w:p>
        </w:tc>
      </w:tr>
      <w:tr w14:paraId="0B2D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noWrap/>
            <w:vAlign w:val="center"/>
          </w:tcPr>
          <w:p w14:paraId="2559311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16</w:t>
            </w:r>
          </w:p>
        </w:tc>
        <w:tc>
          <w:tcPr>
            <w:tcW w:w="1276" w:type="dxa"/>
            <w:vMerge w:val="continue"/>
            <w:vAlign w:val="center"/>
          </w:tcPr>
          <w:p w14:paraId="24B4144D">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4FF6697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钢铁商贸物流产业园钢材加工和仓库项目</w:t>
            </w:r>
          </w:p>
        </w:tc>
        <w:tc>
          <w:tcPr>
            <w:tcW w:w="1701" w:type="dxa"/>
            <w:shd w:val="clear" w:color="auto" w:fill="auto"/>
            <w:vAlign w:val="center"/>
          </w:tcPr>
          <w:p w14:paraId="5CEBA77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5D2221E2">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计划投资5亿元。建设钢材加工和仓库项目</w:t>
            </w:r>
          </w:p>
        </w:tc>
        <w:tc>
          <w:tcPr>
            <w:tcW w:w="1418" w:type="dxa"/>
            <w:shd w:val="clear" w:color="auto" w:fill="auto"/>
            <w:vAlign w:val="center"/>
          </w:tcPr>
          <w:p w14:paraId="3A22FE0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2023—2025</w:t>
            </w:r>
          </w:p>
        </w:tc>
      </w:tr>
      <w:tr w14:paraId="73B1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shd w:val="clear" w:color="auto" w:fill="auto"/>
            <w:noWrap/>
            <w:vAlign w:val="center"/>
          </w:tcPr>
          <w:p w14:paraId="34BF7C9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17</w:t>
            </w:r>
          </w:p>
        </w:tc>
        <w:tc>
          <w:tcPr>
            <w:tcW w:w="1276" w:type="dxa"/>
            <w:vMerge w:val="continue"/>
            <w:vAlign w:val="center"/>
          </w:tcPr>
          <w:p w14:paraId="45937066">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0FF6481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年产5万吨智能装备基础件生产项目</w:t>
            </w:r>
          </w:p>
        </w:tc>
        <w:tc>
          <w:tcPr>
            <w:tcW w:w="1701" w:type="dxa"/>
            <w:shd w:val="clear" w:color="auto" w:fill="auto"/>
            <w:vAlign w:val="center"/>
          </w:tcPr>
          <w:p w14:paraId="39602EC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玉溪锦福智能装备有限公司</w:t>
            </w:r>
          </w:p>
        </w:tc>
        <w:tc>
          <w:tcPr>
            <w:tcW w:w="6656" w:type="dxa"/>
            <w:shd w:val="clear" w:color="auto" w:fill="auto"/>
            <w:vAlign w:val="center"/>
          </w:tcPr>
          <w:p w14:paraId="71C82C63">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计划投资1.2亿元。新建1条树脂砂生产线，最终形成年产3万吨机床用基础件生产能力；新建1条垂直分型粘土砂造型生产线，最终形成年产2万吨汽车用基础件生产能力。</w:t>
            </w:r>
          </w:p>
        </w:tc>
        <w:tc>
          <w:tcPr>
            <w:tcW w:w="1418" w:type="dxa"/>
            <w:shd w:val="clear" w:color="auto" w:fill="auto"/>
            <w:vAlign w:val="center"/>
          </w:tcPr>
          <w:p w14:paraId="2B37882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w:t>
            </w:r>
          </w:p>
        </w:tc>
      </w:tr>
      <w:tr w14:paraId="2EF8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09" w:type="dxa"/>
            <w:shd w:val="clear" w:color="auto" w:fill="auto"/>
            <w:noWrap/>
            <w:vAlign w:val="center"/>
          </w:tcPr>
          <w:p w14:paraId="208B1FC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18</w:t>
            </w:r>
          </w:p>
        </w:tc>
        <w:tc>
          <w:tcPr>
            <w:tcW w:w="1276" w:type="dxa"/>
            <w:vMerge w:val="continue"/>
            <w:vAlign w:val="center"/>
          </w:tcPr>
          <w:p w14:paraId="7C726CFB">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404D26C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大规模集成电路铬锆铜引线框架铜带及钛青铜高弹性铜带项目</w:t>
            </w:r>
          </w:p>
        </w:tc>
        <w:tc>
          <w:tcPr>
            <w:tcW w:w="1701" w:type="dxa"/>
            <w:shd w:val="clear" w:color="auto" w:fill="auto"/>
            <w:vAlign w:val="center"/>
          </w:tcPr>
          <w:p w14:paraId="5FA3962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162AB63A">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计划投资5亿元。建设集成电路铬锆铜引线框架铜带及钛青铜高弹性铜带生产线。</w:t>
            </w:r>
          </w:p>
        </w:tc>
        <w:tc>
          <w:tcPr>
            <w:tcW w:w="1418" w:type="dxa"/>
            <w:shd w:val="clear" w:color="auto" w:fill="auto"/>
            <w:vAlign w:val="center"/>
          </w:tcPr>
          <w:p w14:paraId="0586F76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2023</w:t>
            </w:r>
          </w:p>
        </w:tc>
      </w:tr>
      <w:tr w14:paraId="5581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09" w:type="dxa"/>
            <w:shd w:val="clear" w:color="auto" w:fill="auto"/>
            <w:noWrap/>
            <w:vAlign w:val="center"/>
          </w:tcPr>
          <w:p w14:paraId="57081BF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19</w:t>
            </w:r>
          </w:p>
        </w:tc>
        <w:tc>
          <w:tcPr>
            <w:tcW w:w="1276" w:type="dxa"/>
            <w:vMerge w:val="continue"/>
            <w:vAlign w:val="center"/>
          </w:tcPr>
          <w:p w14:paraId="1B0710AF">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0A11812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美辰科技园一期项目</w:t>
            </w:r>
          </w:p>
        </w:tc>
        <w:tc>
          <w:tcPr>
            <w:tcW w:w="1701" w:type="dxa"/>
            <w:shd w:val="clear" w:color="auto" w:fill="auto"/>
            <w:vAlign w:val="center"/>
          </w:tcPr>
          <w:p w14:paraId="06C7359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美辰</w:t>
            </w:r>
          </w:p>
        </w:tc>
        <w:tc>
          <w:tcPr>
            <w:tcW w:w="6656" w:type="dxa"/>
            <w:shd w:val="clear" w:color="auto" w:fill="auto"/>
            <w:vAlign w:val="center"/>
          </w:tcPr>
          <w:p w14:paraId="69668BBB">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2.4亿元。1、引进深圳市百益昌科技有限公司，投资2000万元建设手机、平板电脑、智能穿戴、5G智能家居等产品的研发组装生产线，达产后预计年产值5亿元；2、引进深圳市鑫利特软硬线路板有限公司，投资3000万元建设20至30条高速SMT贴片设备生产线，达产后预计年产值5亿元；3、引进东莞弘兴科技有限公司，投资2000万元建设手机、平板电脑、穿戴设备的充电器、耳机、数据线等生产线，达产后预计年产值5亿元。4、利用4# 房，投资6000万元用于聚合物锂电池、新能源电池的研发和生产，建设2条以上高倍率的生产线，达产后预计年产值3亿元；5、利用5# 厂房，投资3000万元用于精密模具开模、注塑，购置注塑设备20至30台，达产后预计年产值2亿元；6、利用6#至9#厂房，投资8000万元，围绕培训直播带货、电商、跨境电商、自主创业为主题，打造成具有东盟15国特色、中国特色、云南特色、三大主题的网红拍摄基地。</w:t>
            </w:r>
          </w:p>
        </w:tc>
        <w:tc>
          <w:tcPr>
            <w:tcW w:w="1418" w:type="dxa"/>
            <w:shd w:val="clear" w:color="auto" w:fill="auto"/>
            <w:vAlign w:val="center"/>
          </w:tcPr>
          <w:p w14:paraId="78E253B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w:t>
            </w:r>
          </w:p>
        </w:tc>
      </w:tr>
      <w:tr w14:paraId="25F2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09" w:type="dxa"/>
            <w:shd w:val="clear" w:color="auto" w:fill="auto"/>
            <w:noWrap/>
            <w:vAlign w:val="center"/>
          </w:tcPr>
          <w:p w14:paraId="6A4050F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w:t>
            </w:r>
          </w:p>
        </w:tc>
        <w:tc>
          <w:tcPr>
            <w:tcW w:w="1276" w:type="dxa"/>
            <w:vMerge w:val="continue"/>
            <w:vAlign w:val="center"/>
          </w:tcPr>
          <w:p w14:paraId="1A2A16E4">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33E01EF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数控机床箱体柔性加工装备重大技术装备补助</w:t>
            </w:r>
          </w:p>
        </w:tc>
        <w:tc>
          <w:tcPr>
            <w:tcW w:w="1701" w:type="dxa"/>
            <w:shd w:val="clear" w:color="auto" w:fill="auto"/>
            <w:vAlign w:val="center"/>
          </w:tcPr>
          <w:p w14:paraId="07E40F7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云南森钜精密有限公司</w:t>
            </w:r>
          </w:p>
        </w:tc>
        <w:tc>
          <w:tcPr>
            <w:tcW w:w="6656" w:type="dxa"/>
            <w:shd w:val="clear" w:color="auto" w:fill="auto"/>
            <w:vAlign w:val="center"/>
          </w:tcPr>
          <w:p w14:paraId="269DFDC7">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引进装备：马扎克HCN-6800卧式加工中心及HCN-8800卧式加工中心。</w:t>
            </w:r>
          </w:p>
        </w:tc>
        <w:tc>
          <w:tcPr>
            <w:tcW w:w="1418" w:type="dxa"/>
            <w:shd w:val="clear" w:color="auto" w:fill="auto"/>
            <w:vAlign w:val="center"/>
          </w:tcPr>
          <w:p w14:paraId="2D9B8EF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w:t>
            </w:r>
          </w:p>
        </w:tc>
      </w:tr>
      <w:tr w14:paraId="0221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09" w:type="dxa"/>
            <w:shd w:val="clear" w:color="auto" w:fill="auto"/>
            <w:noWrap/>
            <w:vAlign w:val="center"/>
          </w:tcPr>
          <w:p w14:paraId="74B3B89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21</w:t>
            </w:r>
          </w:p>
        </w:tc>
        <w:tc>
          <w:tcPr>
            <w:tcW w:w="1276" w:type="dxa"/>
            <w:vMerge w:val="continue"/>
            <w:vAlign w:val="center"/>
          </w:tcPr>
          <w:p w14:paraId="2683DEDD">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655DA52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仓库改扩建</w:t>
            </w:r>
          </w:p>
        </w:tc>
        <w:tc>
          <w:tcPr>
            <w:tcW w:w="1701" w:type="dxa"/>
            <w:shd w:val="clear" w:color="auto" w:fill="auto"/>
            <w:vAlign w:val="center"/>
          </w:tcPr>
          <w:p w14:paraId="0A5B9D1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云南省玉溪化肥厂有限责任公司</w:t>
            </w:r>
          </w:p>
        </w:tc>
        <w:tc>
          <w:tcPr>
            <w:tcW w:w="6656" w:type="dxa"/>
            <w:shd w:val="clear" w:color="auto" w:fill="auto"/>
            <w:vAlign w:val="center"/>
          </w:tcPr>
          <w:p w14:paraId="4C9EB36F">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3035万元。扩建1、2、3号仓库，新建单体建筑2幢，总建筑面积23974.31平方米，有效扩大原材料及成品的库存，以应对市场对公司产品逐年增加的需求，同时满足公司后期产能升级要求，有效衔接生产与库存，加快物资周转。</w:t>
            </w:r>
          </w:p>
        </w:tc>
        <w:tc>
          <w:tcPr>
            <w:tcW w:w="1418" w:type="dxa"/>
            <w:shd w:val="clear" w:color="auto" w:fill="auto"/>
            <w:vAlign w:val="center"/>
          </w:tcPr>
          <w:p w14:paraId="4D270BE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w:t>
            </w:r>
          </w:p>
        </w:tc>
      </w:tr>
      <w:tr w14:paraId="6A23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09" w:type="dxa"/>
            <w:shd w:val="clear" w:color="auto" w:fill="auto"/>
            <w:noWrap/>
            <w:vAlign w:val="center"/>
          </w:tcPr>
          <w:p w14:paraId="1EA5DDC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22</w:t>
            </w:r>
          </w:p>
        </w:tc>
        <w:tc>
          <w:tcPr>
            <w:tcW w:w="1276" w:type="dxa"/>
            <w:vMerge w:val="continue"/>
            <w:vAlign w:val="center"/>
          </w:tcPr>
          <w:p w14:paraId="7E8C0178">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7158B86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生产厂区新建车间厂房项目</w:t>
            </w:r>
          </w:p>
        </w:tc>
        <w:tc>
          <w:tcPr>
            <w:tcW w:w="1701" w:type="dxa"/>
            <w:shd w:val="clear" w:color="auto" w:fill="auto"/>
            <w:vAlign w:val="center"/>
          </w:tcPr>
          <w:p w14:paraId="16F524C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云南省玉溪市太标太阳能设备有限公司</w:t>
            </w:r>
          </w:p>
        </w:tc>
        <w:tc>
          <w:tcPr>
            <w:tcW w:w="6656" w:type="dxa"/>
            <w:shd w:val="clear" w:color="auto" w:fill="auto"/>
            <w:vAlign w:val="center"/>
          </w:tcPr>
          <w:p w14:paraId="6C227EBB">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3000万元。在公司原有的35亩土地上新建车间标准厂房，拟建设6#、7#一层钢结构车间，其中：6#车间占地面积13565.95平方米，层高13m；7#车间占地面积9967.95平方米，层高12m；项目竣工后为年产100万套太阳能热水器生产线项目提供生产保障。</w:t>
            </w:r>
          </w:p>
        </w:tc>
        <w:tc>
          <w:tcPr>
            <w:tcW w:w="1418" w:type="dxa"/>
            <w:shd w:val="clear" w:color="auto" w:fill="auto"/>
            <w:vAlign w:val="center"/>
          </w:tcPr>
          <w:p w14:paraId="74FC721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w:t>
            </w:r>
          </w:p>
        </w:tc>
      </w:tr>
      <w:tr w14:paraId="3982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09" w:type="dxa"/>
            <w:shd w:val="clear" w:color="auto" w:fill="auto"/>
            <w:noWrap/>
            <w:vAlign w:val="center"/>
          </w:tcPr>
          <w:p w14:paraId="0B07287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23</w:t>
            </w:r>
          </w:p>
        </w:tc>
        <w:tc>
          <w:tcPr>
            <w:tcW w:w="1276" w:type="dxa"/>
            <w:vMerge w:val="continue"/>
            <w:vAlign w:val="center"/>
          </w:tcPr>
          <w:p w14:paraId="6BB3CA04">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76D3442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年产5300套叠层橡胶隔震支座项目</w:t>
            </w:r>
          </w:p>
        </w:tc>
        <w:tc>
          <w:tcPr>
            <w:tcW w:w="1701" w:type="dxa"/>
            <w:shd w:val="clear" w:color="auto" w:fill="auto"/>
            <w:vAlign w:val="center"/>
          </w:tcPr>
          <w:p w14:paraId="5A6F7CA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云南筑林摇减隔震科技有限公司</w:t>
            </w:r>
          </w:p>
        </w:tc>
        <w:tc>
          <w:tcPr>
            <w:tcW w:w="6656" w:type="dxa"/>
            <w:shd w:val="clear" w:color="auto" w:fill="auto"/>
            <w:vAlign w:val="center"/>
          </w:tcPr>
          <w:p w14:paraId="672D9E99">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3000万元。本项目租赁云南昆钢制管有限公司标准厂房，购置蒸汽发生器、捏炼机、挤出压片机、硫化机、通过式抛丸机生产设备及配套设施，新建叠层橡胶隔震支座生产线一条，最终实现年产5300套叠层橡胶隔震支座制品。</w:t>
            </w:r>
          </w:p>
        </w:tc>
        <w:tc>
          <w:tcPr>
            <w:tcW w:w="1418" w:type="dxa"/>
            <w:shd w:val="clear" w:color="auto" w:fill="auto"/>
            <w:vAlign w:val="center"/>
          </w:tcPr>
          <w:p w14:paraId="5F79C74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w:t>
            </w:r>
          </w:p>
        </w:tc>
      </w:tr>
      <w:tr w14:paraId="7E57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09" w:type="dxa"/>
            <w:shd w:val="clear" w:color="auto" w:fill="auto"/>
            <w:noWrap/>
            <w:vAlign w:val="center"/>
          </w:tcPr>
          <w:p w14:paraId="295E440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24</w:t>
            </w:r>
          </w:p>
        </w:tc>
        <w:tc>
          <w:tcPr>
            <w:tcW w:w="1276" w:type="dxa"/>
            <w:vMerge w:val="continue"/>
            <w:vAlign w:val="center"/>
          </w:tcPr>
          <w:p w14:paraId="62D1707F">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37B1CBD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玻璃深加工生产项目</w:t>
            </w:r>
          </w:p>
        </w:tc>
        <w:tc>
          <w:tcPr>
            <w:tcW w:w="1701" w:type="dxa"/>
            <w:shd w:val="clear" w:color="auto" w:fill="auto"/>
            <w:vAlign w:val="center"/>
          </w:tcPr>
          <w:p w14:paraId="26E5502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玉溪辰丰玻璃装饰有限公司</w:t>
            </w:r>
          </w:p>
        </w:tc>
        <w:tc>
          <w:tcPr>
            <w:tcW w:w="6656" w:type="dxa"/>
            <w:shd w:val="clear" w:color="auto" w:fill="auto"/>
            <w:vAlign w:val="center"/>
          </w:tcPr>
          <w:p w14:paraId="313B62BE">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2600万元。项目租用云南省轴承有限责任公司标准厂房6000平方米，购置设备新建索奥斯平钢化玻璃生产线、全自动中空处合生产线等，项目达产实现年生产钢化玻璃500000平方米生产规模，利用钢化玻璃再加工成中空玻璃、夹胶玻璃。</w:t>
            </w:r>
          </w:p>
        </w:tc>
        <w:tc>
          <w:tcPr>
            <w:tcW w:w="1418" w:type="dxa"/>
            <w:shd w:val="clear" w:color="auto" w:fill="auto"/>
            <w:vAlign w:val="center"/>
          </w:tcPr>
          <w:p w14:paraId="724790C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w:t>
            </w:r>
          </w:p>
        </w:tc>
      </w:tr>
      <w:tr w14:paraId="247D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09" w:type="dxa"/>
            <w:shd w:val="clear" w:color="auto" w:fill="auto"/>
            <w:noWrap/>
            <w:vAlign w:val="center"/>
          </w:tcPr>
          <w:p w14:paraId="3206406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25</w:t>
            </w:r>
          </w:p>
        </w:tc>
        <w:tc>
          <w:tcPr>
            <w:tcW w:w="1276" w:type="dxa"/>
            <w:vMerge w:val="continue"/>
            <w:vAlign w:val="center"/>
          </w:tcPr>
          <w:p w14:paraId="5AA79915">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527A271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水泥助磨剂、混凝土减水剂及新型节能材料开发生产项目</w:t>
            </w:r>
          </w:p>
        </w:tc>
        <w:tc>
          <w:tcPr>
            <w:tcW w:w="1701" w:type="dxa"/>
            <w:shd w:val="clear" w:color="auto" w:fill="auto"/>
            <w:vAlign w:val="center"/>
          </w:tcPr>
          <w:p w14:paraId="3C41E79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云南富山居建材科技有限公司</w:t>
            </w:r>
          </w:p>
        </w:tc>
        <w:tc>
          <w:tcPr>
            <w:tcW w:w="6656" w:type="dxa"/>
            <w:shd w:val="clear" w:color="auto" w:fill="auto"/>
            <w:vAlign w:val="center"/>
          </w:tcPr>
          <w:p w14:paraId="60D6DDDA">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计划投资2000万元。新建生产车间、仓库、研发中心、办公楼、宿舍、食堂及辅助设施，建成后年生产3万吨以上的水泥新型助磨剂、混凝土减水剂及新型节能材料。</w:t>
            </w:r>
          </w:p>
        </w:tc>
        <w:tc>
          <w:tcPr>
            <w:tcW w:w="1418" w:type="dxa"/>
            <w:shd w:val="clear" w:color="auto" w:fill="auto"/>
            <w:vAlign w:val="center"/>
          </w:tcPr>
          <w:p w14:paraId="655184D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w:t>
            </w:r>
          </w:p>
        </w:tc>
      </w:tr>
      <w:tr w14:paraId="0ADC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shd w:val="clear" w:color="auto" w:fill="auto"/>
            <w:noWrap/>
            <w:vAlign w:val="center"/>
          </w:tcPr>
          <w:p w14:paraId="2D88F18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26</w:t>
            </w:r>
          </w:p>
        </w:tc>
        <w:tc>
          <w:tcPr>
            <w:tcW w:w="1276" w:type="dxa"/>
            <w:vMerge w:val="restart"/>
            <w:shd w:val="clear" w:color="auto" w:fill="auto"/>
            <w:vAlign w:val="center"/>
          </w:tcPr>
          <w:p w14:paraId="2F24ABF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生物医药及医疗器械</w:t>
            </w:r>
          </w:p>
        </w:tc>
        <w:tc>
          <w:tcPr>
            <w:tcW w:w="2127" w:type="dxa"/>
            <w:shd w:val="clear" w:color="000000" w:fill="FFFFFF"/>
            <w:vAlign w:val="center"/>
          </w:tcPr>
          <w:p w14:paraId="55292B2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玉溪沃森破伤风原液车间扩建项目</w:t>
            </w:r>
          </w:p>
        </w:tc>
        <w:tc>
          <w:tcPr>
            <w:tcW w:w="1701" w:type="dxa"/>
            <w:shd w:val="clear" w:color="000000" w:fill="FFFFFF"/>
            <w:vAlign w:val="center"/>
          </w:tcPr>
          <w:p w14:paraId="34D3F4F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沃森</w:t>
            </w:r>
          </w:p>
        </w:tc>
        <w:tc>
          <w:tcPr>
            <w:tcW w:w="6656" w:type="dxa"/>
            <w:shd w:val="clear" w:color="000000" w:fill="FFFFFF"/>
            <w:noWrap/>
            <w:vAlign w:val="center"/>
          </w:tcPr>
          <w:p w14:paraId="0349B226">
            <w:pPr>
              <w:widowControl/>
              <w:adjustRightInd w:val="0"/>
              <w:snapToGrid w:val="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计划投资1.4亿元。在玉溪疫苗产业园K栋破伤风疫苗车间二层预留的708.22</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区域新建一个破伤风载体蛋白生产车间，本项目达产后，计划蛋白产量为22000g/年，达产后预计年产值21亿元。</w:t>
            </w:r>
          </w:p>
        </w:tc>
        <w:tc>
          <w:tcPr>
            <w:tcW w:w="1418" w:type="dxa"/>
            <w:shd w:val="clear" w:color="000000" w:fill="FFFFFF"/>
            <w:vAlign w:val="center"/>
          </w:tcPr>
          <w:p w14:paraId="623C464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5698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709" w:type="dxa"/>
            <w:shd w:val="clear" w:color="auto" w:fill="auto"/>
            <w:noWrap/>
            <w:vAlign w:val="center"/>
          </w:tcPr>
          <w:p w14:paraId="20050B1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27</w:t>
            </w:r>
          </w:p>
        </w:tc>
        <w:tc>
          <w:tcPr>
            <w:tcW w:w="1276" w:type="dxa"/>
            <w:vMerge w:val="continue"/>
            <w:vAlign w:val="center"/>
          </w:tcPr>
          <w:p w14:paraId="7BBF21FB">
            <w:pPr>
              <w:widowControl/>
              <w:jc w:val="left"/>
              <w:rPr>
                <w:rFonts w:hint="default" w:ascii="Times New Roman" w:hAnsi="Times New Roman" w:eastAsia="仿宋_GB2312" w:cs="Times New Roman"/>
                <w:kern w:val="0"/>
                <w:sz w:val="24"/>
                <w:szCs w:val="24"/>
              </w:rPr>
            </w:pPr>
          </w:p>
        </w:tc>
        <w:tc>
          <w:tcPr>
            <w:tcW w:w="2127" w:type="dxa"/>
            <w:shd w:val="clear" w:color="000000" w:fill="FFFFFF"/>
            <w:vAlign w:val="center"/>
          </w:tcPr>
          <w:p w14:paraId="6036281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玉溪沃森四价流脑多糖结合疫苗产业化暨多糖结合疫苗扩产扩能项目</w:t>
            </w:r>
          </w:p>
        </w:tc>
        <w:tc>
          <w:tcPr>
            <w:tcW w:w="1701" w:type="dxa"/>
            <w:shd w:val="clear" w:color="000000" w:fill="FFFFFF"/>
            <w:vAlign w:val="center"/>
          </w:tcPr>
          <w:p w14:paraId="2065C97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沃森</w:t>
            </w:r>
          </w:p>
        </w:tc>
        <w:tc>
          <w:tcPr>
            <w:tcW w:w="6656" w:type="dxa"/>
            <w:shd w:val="clear" w:color="000000" w:fill="FFFFFF"/>
            <w:vAlign w:val="center"/>
          </w:tcPr>
          <w:p w14:paraId="6744FA91">
            <w:pPr>
              <w:widowControl/>
              <w:adjustRightInd w:val="0"/>
              <w:snapToGrid w:val="0"/>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计划投资6.9亿元。过拆除原成品配送中心（105#楼）在原址上规划新建一个疫苗原生产大楼，项目占地面积约 1550</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，建筑面积约16000</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，疫苗生产大楼建成后，能够生产四价流脑结合疫苗原液 1000 万剂，多糖疫苗原液 800 万剂， 13 价肺炎结合疫苗原液 3000 万剂，达产后预计年产值89亿元。</w:t>
            </w:r>
          </w:p>
        </w:tc>
        <w:tc>
          <w:tcPr>
            <w:tcW w:w="1418" w:type="dxa"/>
            <w:shd w:val="clear" w:color="000000" w:fill="FFFFFF"/>
            <w:vAlign w:val="center"/>
          </w:tcPr>
          <w:p w14:paraId="36B8F21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2021—2023</w:t>
            </w:r>
          </w:p>
        </w:tc>
      </w:tr>
      <w:tr w14:paraId="62A4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shd w:val="clear" w:color="auto" w:fill="auto"/>
            <w:noWrap/>
            <w:vAlign w:val="center"/>
          </w:tcPr>
          <w:p w14:paraId="2734CD5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28</w:t>
            </w:r>
          </w:p>
        </w:tc>
        <w:tc>
          <w:tcPr>
            <w:tcW w:w="1276" w:type="dxa"/>
            <w:vMerge w:val="continue"/>
            <w:vAlign w:val="center"/>
          </w:tcPr>
          <w:p w14:paraId="71509ED7">
            <w:pPr>
              <w:widowControl/>
              <w:jc w:val="left"/>
              <w:rPr>
                <w:rFonts w:hint="default" w:ascii="Times New Roman" w:hAnsi="Times New Roman" w:eastAsia="仿宋_GB2312" w:cs="Times New Roman"/>
                <w:kern w:val="0"/>
                <w:sz w:val="24"/>
                <w:szCs w:val="24"/>
              </w:rPr>
            </w:pPr>
          </w:p>
        </w:tc>
        <w:tc>
          <w:tcPr>
            <w:tcW w:w="2127" w:type="dxa"/>
            <w:shd w:val="clear" w:color="000000" w:fill="FFFFFF"/>
            <w:vAlign w:val="center"/>
          </w:tcPr>
          <w:p w14:paraId="0ED5D7D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mRNA新冠疫苗产业化建设项目</w:t>
            </w:r>
          </w:p>
        </w:tc>
        <w:tc>
          <w:tcPr>
            <w:tcW w:w="1701" w:type="dxa"/>
            <w:shd w:val="clear" w:color="000000" w:fill="FFFFFF"/>
            <w:vAlign w:val="center"/>
          </w:tcPr>
          <w:p w14:paraId="6809E6D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沃森</w:t>
            </w:r>
          </w:p>
        </w:tc>
        <w:tc>
          <w:tcPr>
            <w:tcW w:w="6656" w:type="dxa"/>
            <w:shd w:val="clear" w:color="000000" w:fill="FFFFFF"/>
            <w:vAlign w:val="center"/>
          </w:tcPr>
          <w:p w14:paraId="2A9EEF97">
            <w:pPr>
              <w:widowControl/>
              <w:adjustRightInd w:val="0"/>
              <w:snapToGrid w:val="0"/>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计划投资2.8亿元。在玉溪疫苗产业园预留地块，采用模块厂房方式现场组建一个占地1000</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，建筑面积2000</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多层厂房，项目建成后年产新冠疫苗1.2亿剂/年。达产后预计年产值50亿元。</w:t>
            </w:r>
          </w:p>
        </w:tc>
        <w:tc>
          <w:tcPr>
            <w:tcW w:w="1418" w:type="dxa"/>
            <w:shd w:val="clear" w:color="000000" w:fill="FFFFFF"/>
            <w:vAlign w:val="center"/>
          </w:tcPr>
          <w:p w14:paraId="1236397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w:t>
            </w:r>
          </w:p>
        </w:tc>
      </w:tr>
      <w:tr w14:paraId="4FDE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9" w:type="dxa"/>
            <w:shd w:val="clear" w:color="auto" w:fill="auto"/>
            <w:noWrap/>
            <w:vAlign w:val="center"/>
          </w:tcPr>
          <w:p w14:paraId="5E3A617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29</w:t>
            </w:r>
          </w:p>
        </w:tc>
        <w:tc>
          <w:tcPr>
            <w:tcW w:w="1276" w:type="dxa"/>
            <w:vMerge w:val="continue"/>
            <w:vAlign w:val="center"/>
          </w:tcPr>
          <w:p w14:paraId="1558301D">
            <w:pPr>
              <w:widowControl/>
              <w:jc w:val="left"/>
              <w:rPr>
                <w:rFonts w:hint="default" w:ascii="Times New Roman" w:hAnsi="Times New Roman" w:eastAsia="仿宋_GB2312" w:cs="Times New Roman"/>
                <w:kern w:val="0"/>
                <w:sz w:val="24"/>
                <w:szCs w:val="24"/>
              </w:rPr>
            </w:pPr>
          </w:p>
        </w:tc>
        <w:tc>
          <w:tcPr>
            <w:tcW w:w="2127" w:type="dxa"/>
            <w:shd w:val="clear" w:color="000000" w:fill="FFFFFF"/>
            <w:vAlign w:val="center"/>
          </w:tcPr>
          <w:p w14:paraId="168FB4F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腺病毒载体新冠疫苗中试车间</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建设项目</w:t>
            </w:r>
          </w:p>
        </w:tc>
        <w:tc>
          <w:tcPr>
            <w:tcW w:w="1701" w:type="dxa"/>
            <w:shd w:val="clear" w:color="000000" w:fill="FFFFFF"/>
            <w:vAlign w:val="center"/>
          </w:tcPr>
          <w:p w14:paraId="4C1A958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沃森</w:t>
            </w:r>
          </w:p>
        </w:tc>
        <w:tc>
          <w:tcPr>
            <w:tcW w:w="6656" w:type="dxa"/>
            <w:shd w:val="clear" w:color="000000" w:fill="FFFFFF"/>
            <w:noWrap/>
            <w:vAlign w:val="center"/>
          </w:tcPr>
          <w:p w14:paraId="1B0B3E35">
            <w:pPr>
              <w:widowControl/>
              <w:adjustRightInd w:val="0"/>
              <w:snapToGrid w:val="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计划投资1.4亿元。按照腺病毒载体疫苗生产工艺需求采用模块厂房方式现场组建一个建筑面积1500</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多层中试车间。</w:t>
            </w:r>
          </w:p>
        </w:tc>
        <w:tc>
          <w:tcPr>
            <w:tcW w:w="1418" w:type="dxa"/>
            <w:shd w:val="clear" w:color="000000" w:fill="FFFFFF"/>
            <w:vAlign w:val="center"/>
          </w:tcPr>
          <w:p w14:paraId="106F4C6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6E0D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shd w:val="clear" w:color="auto" w:fill="auto"/>
            <w:noWrap/>
            <w:vAlign w:val="center"/>
          </w:tcPr>
          <w:p w14:paraId="35A309B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30</w:t>
            </w:r>
          </w:p>
        </w:tc>
        <w:tc>
          <w:tcPr>
            <w:tcW w:w="1276" w:type="dxa"/>
            <w:vMerge w:val="continue"/>
            <w:vAlign w:val="center"/>
          </w:tcPr>
          <w:p w14:paraId="73038AE5">
            <w:pPr>
              <w:widowControl/>
              <w:jc w:val="left"/>
              <w:rPr>
                <w:rFonts w:hint="default" w:ascii="Times New Roman" w:hAnsi="Times New Roman" w:eastAsia="仿宋_GB2312" w:cs="Times New Roman"/>
                <w:kern w:val="0"/>
                <w:sz w:val="24"/>
                <w:szCs w:val="24"/>
              </w:rPr>
            </w:pPr>
          </w:p>
        </w:tc>
        <w:tc>
          <w:tcPr>
            <w:tcW w:w="2127" w:type="dxa"/>
            <w:shd w:val="clear" w:color="000000" w:fill="FFFFFF"/>
            <w:vAlign w:val="center"/>
          </w:tcPr>
          <w:p w14:paraId="6C62E54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玉溪沃森两化融合建设项目</w:t>
            </w:r>
          </w:p>
        </w:tc>
        <w:tc>
          <w:tcPr>
            <w:tcW w:w="1701" w:type="dxa"/>
            <w:shd w:val="clear" w:color="000000" w:fill="FFFFFF"/>
            <w:vAlign w:val="center"/>
          </w:tcPr>
          <w:p w14:paraId="30538FF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沃森</w:t>
            </w:r>
          </w:p>
        </w:tc>
        <w:tc>
          <w:tcPr>
            <w:tcW w:w="6656" w:type="dxa"/>
            <w:shd w:val="clear" w:color="000000" w:fill="FFFFFF"/>
            <w:noWrap/>
            <w:vAlign w:val="center"/>
          </w:tcPr>
          <w:p w14:paraId="729220BD">
            <w:pPr>
              <w:widowControl/>
              <w:adjustRightInd w:val="0"/>
              <w:snapToGrid w:val="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计划投资2亿元。建设覆盖生产、仓储、质量管理的自动化信息化系统，同时建设现代化数据中心及疫苗追溯系统，为公司疫苗全生命周期质量管理提供系统支持和可靠保证。</w:t>
            </w:r>
          </w:p>
        </w:tc>
        <w:tc>
          <w:tcPr>
            <w:tcW w:w="1418" w:type="dxa"/>
            <w:shd w:val="clear" w:color="000000" w:fill="FFFFFF"/>
            <w:vAlign w:val="center"/>
          </w:tcPr>
          <w:p w14:paraId="2FD29F2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2022</w:t>
            </w:r>
          </w:p>
        </w:tc>
      </w:tr>
      <w:tr w14:paraId="33D7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shd w:val="clear" w:color="auto" w:fill="auto"/>
            <w:noWrap/>
            <w:vAlign w:val="center"/>
          </w:tcPr>
          <w:p w14:paraId="30ACD7A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31</w:t>
            </w:r>
          </w:p>
        </w:tc>
        <w:tc>
          <w:tcPr>
            <w:tcW w:w="1276" w:type="dxa"/>
            <w:vMerge w:val="continue"/>
            <w:vAlign w:val="center"/>
          </w:tcPr>
          <w:p w14:paraId="1C3B5E64">
            <w:pPr>
              <w:widowControl/>
              <w:jc w:val="left"/>
              <w:rPr>
                <w:rFonts w:hint="default" w:ascii="Times New Roman" w:hAnsi="Times New Roman" w:eastAsia="仿宋_GB2312" w:cs="Times New Roman"/>
                <w:kern w:val="0"/>
                <w:sz w:val="24"/>
                <w:szCs w:val="24"/>
              </w:rPr>
            </w:pPr>
          </w:p>
        </w:tc>
        <w:tc>
          <w:tcPr>
            <w:tcW w:w="2127" w:type="dxa"/>
            <w:shd w:val="clear" w:color="000000" w:fill="FFFFFF"/>
            <w:vAlign w:val="center"/>
          </w:tcPr>
          <w:p w14:paraId="08212D8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玉溪沃森疫苗配套设施建设项目</w:t>
            </w:r>
          </w:p>
        </w:tc>
        <w:tc>
          <w:tcPr>
            <w:tcW w:w="1701" w:type="dxa"/>
            <w:shd w:val="clear" w:color="000000" w:fill="FFFFFF"/>
            <w:vAlign w:val="center"/>
          </w:tcPr>
          <w:p w14:paraId="31352D6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沃森</w:t>
            </w:r>
          </w:p>
        </w:tc>
        <w:tc>
          <w:tcPr>
            <w:tcW w:w="6656" w:type="dxa"/>
            <w:shd w:val="clear" w:color="000000" w:fill="FFFFFF"/>
            <w:noWrap/>
            <w:vAlign w:val="center"/>
          </w:tcPr>
          <w:p w14:paraId="73EE7EF9">
            <w:pPr>
              <w:widowControl/>
              <w:adjustRightInd w:val="0"/>
              <w:snapToGrid w:val="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计划投资1.8亿元。通过拆除现有F栋(110#)动物繁育中心、E栋（104#）白喉车间，并在原址上规划新建一栋建筑，该建筑占地1500</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，规划总建筑面积9000</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，该建筑建成后将规划有库房、冷库及中试车间。</w:t>
            </w:r>
          </w:p>
        </w:tc>
        <w:tc>
          <w:tcPr>
            <w:tcW w:w="1418" w:type="dxa"/>
            <w:shd w:val="clear" w:color="000000" w:fill="FFFFFF"/>
            <w:vAlign w:val="center"/>
          </w:tcPr>
          <w:p w14:paraId="0C32AB6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2022—2024</w:t>
            </w:r>
          </w:p>
        </w:tc>
      </w:tr>
      <w:tr w14:paraId="739A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09" w:type="dxa"/>
            <w:shd w:val="clear" w:color="auto" w:fill="auto"/>
            <w:noWrap/>
            <w:vAlign w:val="center"/>
          </w:tcPr>
          <w:p w14:paraId="07D0EEE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32</w:t>
            </w:r>
          </w:p>
        </w:tc>
        <w:tc>
          <w:tcPr>
            <w:tcW w:w="1276" w:type="dxa"/>
            <w:vMerge w:val="continue"/>
            <w:vAlign w:val="center"/>
          </w:tcPr>
          <w:p w14:paraId="57FC39D9">
            <w:pPr>
              <w:widowControl/>
              <w:jc w:val="left"/>
              <w:rPr>
                <w:rFonts w:hint="default" w:ascii="Times New Roman" w:hAnsi="Times New Roman" w:eastAsia="仿宋_GB2312" w:cs="Times New Roman"/>
                <w:kern w:val="0"/>
                <w:sz w:val="24"/>
                <w:szCs w:val="24"/>
              </w:rPr>
            </w:pPr>
          </w:p>
        </w:tc>
        <w:tc>
          <w:tcPr>
            <w:tcW w:w="2127" w:type="dxa"/>
            <w:shd w:val="clear" w:color="000000" w:fill="FFFFFF"/>
            <w:vAlign w:val="center"/>
          </w:tcPr>
          <w:p w14:paraId="49EB2BD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玉溪沃森二期分包装车间技改项目</w:t>
            </w:r>
          </w:p>
        </w:tc>
        <w:tc>
          <w:tcPr>
            <w:tcW w:w="1701" w:type="dxa"/>
            <w:shd w:val="clear" w:color="000000" w:fill="FFFFFF"/>
            <w:vAlign w:val="center"/>
          </w:tcPr>
          <w:p w14:paraId="5897B87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沃森</w:t>
            </w:r>
          </w:p>
        </w:tc>
        <w:tc>
          <w:tcPr>
            <w:tcW w:w="6656" w:type="dxa"/>
            <w:shd w:val="clear" w:color="000000" w:fill="FFFFFF"/>
            <w:noWrap/>
            <w:vAlign w:val="center"/>
          </w:tcPr>
          <w:p w14:paraId="2BC2C7B2">
            <w:pPr>
              <w:widowControl/>
              <w:adjustRightInd w:val="0"/>
              <w:snapToGrid w:val="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计划投资3亿元。通过对目前玉溪沃森二期分包装车间厂房及设备进行升级改造，在实现产能提升的同时以满足WHO-PQ要求，并实现智能化、信息化生产。</w:t>
            </w:r>
          </w:p>
        </w:tc>
        <w:tc>
          <w:tcPr>
            <w:tcW w:w="1418" w:type="dxa"/>
            <w:shd w:val="clear" w:color="000000" w:fill="FFFFFF"/>
            <w:vAlign w:val="center"/>
          </w:tcPr>
          <w:p w14:paraId="6EF5AC8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2023—2025</w:t>
            </w:r>
          </w:p>
        </w:tc>
      </w:tr>
      <w:tr w14:paraId="655B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noWrap/>
            <w:vAlign w:val="center"/>
          </w:tcPr>
          <w:p w14:paraId="45DDD58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33</w:t>
            </w:r>
          </w:p>
        </w:tc>
        <w:tc>
          <w:tcPr>
            <w:tcW w:w="1276" w:type="dxa"/>
            <w:vMerge w:val="continue"/>
            <w:vAlign w:val="center"/>
          </w:tcPr>
          <w:p w14:paraId="746B502D">
            <w:pPr>
              <w:widowControl/>
              <w:jc w:val="left"/>
              <w:rPr>
                <w:rFonts w:hint="default" w:ascii="Times New Roman" w:hAnsi="Times New Roman" w:eastAsia="仿宋_GB2312" w:cs="Times New Roman"/>
                <w:kern w:val="0"/>
                <w:sz w:val="24"/>
                <w:szCs w:val="24"/>
              </w:rPr>
            </w:pPr>
          </w:p>
        </w:tc>
        <w:tc>
          <w:tcPr>
            <w:tcW w:w="2127" w:type="dxa"/>
            <w:shd w:val="clear" w:color="000000" w:fill="FFFFFF"/>
            <w:vAlign w:val="center"/>
          </w:tcPr>
          <w:p w14:paraId="065CDF7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玉溪沃森有限公司沃森试验动物基地</w:t>
            </w:r>
          </w:p>
        </w:tc>
        <w:tc>
          <w:tcPr>
            <w:tcW w:w="1701" w:type="dxa"/>
            <w:shd w:val="clear" w:color="000000" w:fill="FFFFFF"/>
            <w:vAlign w:val="center"/>
          </w:tcPr>
          <w:p w14:paraId="278F661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沃</w:t>
            </w:r>
          </w:p>
        </w:tc>
        <w:tc>
          <w:tcPr>
            <w:tcW w:w="6656" w:type="dxa"/>
            <w:shd w:val="clear" w:color="000000" w:fill="FFFFFF"/>
            <w:vAlign w:val="center"/>
          </w:tcPr>
          <w:p w14:paraId="3004E40A">
            <w:pPr>
              <w:widowControl/>
              <w:adjustRightInd w:val="0"/>
              <w:snapToGrid w:val="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计划投资1.5亿元。选址在中小企业创业园，拟征地30亩建设动物饲养基地</w:t>
            </w:r>
          </w:p>
        </w:tc>
        <w:tc>
          <w:tcPr>
            <w:tcW w:w="1418" w:type="dxa"/>
            <w:shd w:val="clear" w:color="000000" w:fill="FFFFFF"/>
            <w:vAlign w:val="center"/>
          </w:tcPr>
          <w:p w14:paraId="55D7BB5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5A6E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9" w:type="dxa"/>
            <w:shd w:val="clear" w:color="auto" w:fill="auto"/>
            <w:noWrap/>
            <w:vAlign w:val="center"/>
          </w:tcPr>
          <w:p w14:paraId="526A591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34</w:t>
            </w:r>
          </w:p>
        </w:tc>
        <w:tc>
          <w:tcPr>
            <w:tcW w:w="1276" w:type="dxa"/>
            <w:vMerge w:val="continue"/>
            <w:vAlign w:val="center"/>
          </w:tcPr>
          <w:p w14:paraId="0CE576A0">
            <w:pPr>
              <w:widowControl/>
              <w:jc w:val="left"/>
              <w:rPr>
                <w:rFonts w:hint="default" w:ascii="Times New Roman" w:hAnsi="Times New Roman" w:eastAsia="仿宋_GB2312" w:cs="Times New Roman"/>
                <w:kern w:val="0"/>
                <w:sz w:val="24"/>
                <w:szCs w:val="24"/>
              </w:rPr>
            </w:pPr>
          </w:p>
        </w:tc>
        <w:tc>
          <w:tcPr>
            <w:tcW w:w="2127" w:type="dxa"/>
            <w:shd w:val="clear" w:color="000000" w:fill="FFFFFF"/>
            <w:vAlign w:val="center"/>
          </w:tcPr>
          <w:p w14:paraId="6AA018D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生物医药和大健康产业园（土地开发和基础设施建设）</w:t>
            </w:r>
          </w:p>
        </w:tc>
        <w:tc>
          <w:tcPr>
            <w:tcW w:w="1701" w:type="dxa"/>
            <w:shd w:val="clear" w:color="000000" w:fill="FFFFFF"/>
            <w:vAlign w:val="center"/>
          </w:tcPr>
          <w:p w14:paraId="26180F5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000000" w:fill="FFFFFF"/>
            <w:vAlign w:val="center"/>
          </w:tcPr>
          <w:p w14:paraId="1923A9FA">
            <w:pPr>
              <w:widowControl/>
              <w:adjustRightInd w:val="0"/>
              <w:snapToGrid w:val="0"/>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计划投资10亿元。以北城莲池地块约1000亩用地和维和、克雷斯为依托，打造</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生物医药产业园</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，重点在原料药、中成药、民族药研发、生产上形成特色。</w:t>
            </w:r>
          </w:p>
        </w:tc>
        <w:tc>
          <w:tcPr>
            <w:tcW w:w="1418" w:type="dxa"/>
            <w:shd w:val="clear" w:color="auto" w:fill="auto"/>
            <w:vAlign w:val="center"/>
          </w:tcPr>
          <w:p w14:paraId="78066EA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2023—2025</w:t>
            </w:r>
          </w:p>
        </w:tc>
      </w:tr>
      <w:tr w14:paraId="0469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9" w:type="dxa"/>
            <w:shd w:val="clear" w:color="auto" w:fill="auto"/>
            <w:noWrap/>
            <w:vAlign w:val="center"/>
          </w:tcPr>
          <w:p w14:paraId="34CF049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35</w:t>
            </w:r>
          </w:p>
        </w:tc>
        <w:tc>
          <w:tcPr>
            <w:tcW w:w="1276" w:type="dxa"/>
            <w:vMerge w:val="continue"/>
            <w:vAlign w:val="center"/>
          </w:tcPr>
          <w:p w14:paraId="1A6C6296">
            <w:pPr>
              <w:widowControl/>
              <w:jc w:val="left"/>
              <w:rPr>
                <w:rFonts w:hint="default" w:ascii="Times New Roman" w:hAnsi="Times New Roman" w:eastAsia="仿宋_GB2312" w:cs="Times New Roman"/>
                <w:kern w:val="0"/>
                <w:sz w:val="24"/>
                <w:szCs w:val="24"/>
              </w:rPr>
            </w:pPr>
          </w:p>
        </w:tc>
        <w:tc>
          <w:tcPr>
            <w:tcW w:w="2127" w:type="dxa"/>
            <w:shd w:val="clear" w:color="000000" w:fill="FFFFFF"/>
            <w:vAlign w:val="center"/>
          </w:tcPr>
          <w:p w14:paraId="6779F1D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生物医药和大健康产业园中国中医药大学产学研基地</w:t>
            </w:r>
          </w:p>
        </w:tc>
        <w:tc>
          <w:tcPr>
            <w:tcW w:w="1701" w:type="dxa"/>
            <w:shd w:val="clear" w:color="000000" w:fill="FFFFFF"/>
            <w:vAlign w:val="center"/>
          </w:tcPr>
          <w:p w14:paraId="508407A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000000" w:fill="FFFFFF"/>
            <w:vAlign w:val="center"/>
          </w:tcPr>
          <w:p w14:paraId="645ADD9D">
            <w:pPr>
              <w:widowControl/>
              <w:adjustRightInd w:val="0"/>
              <w:snapToGrid w:val="0"/>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计划投资2亿元。建设中国中医药大学产学研基地</w:t>
            </w:r>
          </w:p>
        </w:tc>
        <w:tc>
          <w:tcPr>
            <w:tcW w:w="1418" w:type="dxa"/>
            <w:shd w:val="clear" w:color="auto" w:fill="auto"/>
            <w:vAlign w:val="center"/>
          </w:tcPr>
          <w:p w14:paraId="0FDC5B0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2024—2025</w:t>
            </w:r>
          </w:p>
        </w:tc>
      </w:tr>
      <w:tr w14:paraId="0F7A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9" w:type="dxa"/>
            <w:shd w:val="clear" w:color="auto" w:fill="auto"/>
            <w:noWrap/>
            <w:vAlign w:val="center"/>
          </w:tcPr>
          <w:p w14:paraId="390D2C6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36</w:t>
            </w:r>
          </w:p>
        </w:tc>
        <w:tc>
          <w:tcPr>
            <w:tcW w:w="1276" w:type="dxa"/>
            <w:vMerge w:val="continue"/>
            <w:vAlign w:val="center"/>
          </w:tcPr>
          <w:p w14:paraId="7FB56138">
            <w:pPr>
              <w:widowControl/>
              <w:jc w:val="left"/>
              <w:rPr>
                <w:rFonts w:hint="default" w:ascii="Times New Roman" w:hAnsi="Times New Roman" w:eastAsia="仿宋_GB2312" w:cs="Times New Roman"/>
                <w:kern w:val="0"/>
                <w:sz w:val="24"/>
                <w:szCs w:val="24"/>
              </w:rPr>
            </w:pPr>
          </w:p>
        </w:tc>
        <w:tc>
          <w:tcPr>
            <w:tcW w:w="2127" w:type="dxa"/>
            <w:shd w:val="clear" w:color="000000" w:fill="FFFFFF"/>
            <w:vAlign w:val="center"/>
          </w:tcPr>
          <w:p w14:paraId="7A53A3C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生物医药和大健康产业园云南省中医药大学产学研实训基地</w:t>
            </w:r>
          </w:p>
        </w:tc>
        <w:tc>
          <w:tcPr>
            <w:tcW w:w="1701" w:type="dxa"/>
            <w:shd w:val="clear" w:color="000000" w:fill="FFFFFF"/>
            <w:vAlign w:val="center"/>
          </w:tcPr>
          <w:p w14:paraId="715BFD8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000000" w:fill="FFFFFF"/>
            <w:vAlign w:val="center"/>
          </w:tcPr>
          <w:p w14:paraId="0D0AB8BB">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预计投资3亿元。建设云南省中医药大学产学研实训基地</w:t>
            </w:r>
          </w:p>
        </w:tc>
        <w:tc>
          <w:tcPr>
            <w:tcW w:w="1418" w:type="dxa"/>
            <w:shd w:val="clear" w:color="auto" w:fill="auto"/>
            <w:vAlign w:val="center"/>
          </w:tcPr>
          <w:p w14:paraId="0BCACDB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2024—2025</w:t>
            </w:r>
          </w:p>
        </w:tc>
      </w:tr>
      <w:tr w14:paraId="7594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9" w:type="dxa"/>
            <w:shd w:val="clear" w:color="auto" w:fill="auto"/>
            <w:noWrap/>
            <w:vAlign w:val="center"/>
          </w:tcPr>
          <w:p w14:paraId="22D3884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37</w:t>
            </w:r>
          </w:p>
        </w:tc>
        <w:tc>
          <w:tcPr>
            <w:tcW w:w="1276" w:type="dxa"/>
            <w:vMerge w:val="continue"/>
            <w:vAlign w:val="center"/>
          </w:tcPr>
          <w:p w14:paraId="2D8B2465">
            <w:pPr>
              <w:widowControl/>
              <w:jc w:val="left"/>
              <w:rPr>
                <w:rFonts w:hint="default" w:ascii="Times New Roman" w:hAnsi="Times New Roman" w:eastAsia="仿宋_GB2312" w:cs="Times New Roman"/>
                <w:kern w:val="0"/>
                <w:sz w:val="24"/>
                <w:szCs w:val="24"/>
              </w:rPr>
            </w:pPr>
          </w:p>
        </w:tc>
        <w:tc>
          <w:tcPr>
            <w:tcW w:w="2127" w:type="dxa"/>
            <w:shd w:val="clear" w:color="000000" w:fill="FFFFFF"/>
            <w:vAlign w:val="center"/>
          </w:tcPr>
          <w:p w14:paraId="423E131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生物医药和大健康产业园云南省滇中原料药科研及制造基地</w:t>
            </w:r>
          </w:p>
        </w:tc>
        <w:tc>
          <w:tcPr>
            <w:tcW w:w="1701" w:type="dxa"/>
            <w:shd w:val="clear" w:color="000000" w:fill="FFFFFF"/>
            <w:vAlign w:val="center"/>
          </w:tcPr>
          <w:p w14:paraId="2DBD12C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000000" w:fill="FFFFFF"/>
            <w:vAlign w:val="center"/>
          </w:tcPr>
          <w:p w14:paraId="3E103663">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预计投资8亿元。建设云南省滇中原料药科研及制造基地</w:t>
            </w:r>
          </w:p>
        </w:tc>
        <w:tc>
          <w:tcPr>
            <w:tcW w:w="1418" w:type="dxa"/>
            <w:shd w:val="clear" w:color="auto" w:fill="auto"/>
            <w:vAlign w:val="center"/>
          </w:tcPr>
          <w:p w14:paraId="56B5ABD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2024—2025</w:t>
            </w:r>
          </w:p>
        </w:tc>
      </w:tr>
      <w:tr w14:paraId="358C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9" w:type="dxa"/>
            <w:shd w:val="clear" w:color="auto" w:fill="auto"/>
            <w:noWrap/>
            <w:vAlign w:val="center"/>
          </w:tcPr>
          <w:p w14:paraId="21E6EDC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38</w:t>
            </w:r>
          </w:p>
        </w:tc>
        <w:tc>
          <w:tcPr>
            <w:tcW w:w="1276" w:type="dxa"/>
            <w:vMerge w:val="continue"/>
            <w:vAlign w:val="center"/>
          </w:tcPr>
          <w:p w14:paraId="6FD7A945">
            <w:pPr>
              <w:widowControl/>
              <w:jc w:val="left"/>
              <w:rPr>
                <w:rFonts w:hint="default" w:ascii="Times New Roman" w:hAnsi="Times New Roman" w:eastAsia="仿宋_GB2312" w:cs="Times New Roman"/>
                <w:kern w:val="0"/>
                <w:sz w:val="24"/>
                <w:szCs w:val="24"/>
              </w:rPr>
            </w:pPr>
          </w:p>
        </w:tc>
        <w:tc>
          <w:tcPr>
            <w:tcW w:w="2127" w:type="dxa"/>
            <w:shd w:val="clear" w:color="000000" w:fill="FFFFFF"/>
            <w:vAlign w:val="center"/>
          </w:tcPr>
          <w:p w14:paraId="7609637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生物医药和大健康产业园云南省滇中民族医药科研基地</w:t>
            </w:r>
          </w:p>
        </w:tc>
        <w:tc>
          <w:tcPr>
            <w:tcW w:w="1701" w:type="dxa"/>
            <w:shd w:val="clear" w:color="000000" w:fill="FFFFFF"/>
            <w:vAlign w:val="center"/>
          </w:tcPr>
          <w:p w14:paraId="56FE73E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000000" w:fill="FFFFFF"/>
            <w:vAlign w:val="center"/>
          </w:tcPr>
          <w:p w14:paraId="528D4A72">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预计投资5亿元。建设云南省滇中民族医药科研基地</w:t>
            </w:r>
          </w:p>
        </w:tc>
        <w:tc>
          <w:tcPr>
            <w:tcW w:w="1418" w:type="dxa"/>
            <w:shd w:val="clear" w:color="auto" w:fill="auto"/>
            <w:vAlign w:val="center"/>
          </w:tcPr>
          <w:p w14:paraId="56AC133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2024—2025</w:t>
            </w:r>
          </w:p>
        </w:tc>
      </w:tr>
      <w:tr w14:paraId="250B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09" w:type="dxa"/>
            <w:shd w:val="clear" w:color="auto" w:fill="auto"/>
            <w:noWrap/>
            <w:vAlign w:val="center"/>
          </w:tcPr>
          <w:p w14:paraId="0068AA4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39</w:t>
            </w:r>
          </w:p>
        </w:tc>
        <w:tc>
          <w:tcPr>
            <w:tcW w:w="1276" w:type="dxa"/>
            <w:vMerge w:val="continue"/>
            <w:vAlign w:val="center"/>
          </w:tcPr>
          <w:p w14:paraId="49228A56">
            <w:pPr>
              <w:widowControl/>
              <w:jc w:val="left"/>
              <w:rPr>
                <w:rFonts w:hint="default" w:ascii="Times New Roman" w:hAnsi="Times New Roman" w:eastAsia="仿宋_GB2312" w:cs="Times New Roman"/>
                <w:kern w:val="0"/>
                <w:sz w:val="24"/>
                <w:szCs w:val="24"/>
              </w:rPr>
            </w:pPr>
          </w:p>
        </w:tc>
        <w:tc>
          <w:tcPr>
            <w:tcW w:w="2127" w:type="dxa"/>
            <w:shd w:val="clear" w:color="000000" w:fill="FFFFFF"/>
            <w:vAlign w:val="center"/>
          </w:tcPr>
          <w:p w14:paraId="6151978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云南省高端医疗器械产业园</w:t>
            </w:r>
          </w:p>
        </w:tc>
        <w:tc>
          <w:tcPr>
            <w:tcW w:w="1701" w:type="dxa"/>
            <w:shd w:val="clear" w:color="000000" w:fill="FFFFFF"/>
            <w:vAlign w:val="center"/>
          </w:tcPr>
          <w:p w14:paraId="1C31307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000000" w:fill="FFFFFF"/>
            <w:vAlign w:val="center"/>
          </w:tcPr>
          <w:p w14:paraId="381D6AA6">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计划投资2亿元。建设集</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孵化、展示、销售、物流</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等功能为一体的产业园，引进医疗器械、高端医疗耗材、可穿戴设备、智慧医疗产品、健康食品及保健品等产业项目，争取纳入云南省公共卫生医疗应急物资生产服务体系建设。</w:t>
            </w:r>
          </w:p>
        </w:tc>
        <w:tc>
          <w:tcPr>
            <w:tcW w:w="1418" w:type="dxa"/>
            <w:shd w:val="clear" w:color="000000" w:fill="FFFFFF"/>
            <w:vAlign w:val="center"/>
          </w:tcPr>
          <w:p w14:paraId="71D14C8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71B8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atLeast"/>
        </w:trPr>
        <w:tc>
          <w:tcPr>
            <w:tcW w:w="709" w:type="dxa"/>
            <w:shd w:val="clear" w:color="auto" w:fill="auto"/>
            <w:noWrap/>
            <w:vAlign w:val="center"/>
          </w:tcPr>
          <w:p w14:paraId="09AFF64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40</w:t>
            </w:r>
          </w:p>
        </w:tc>
        <w:tc>
          <w:tcPr>
            <w:tcW w:w="1276" w:type="dxa"/>
            <w:vMerge w:val="continue"/>
            <w:vAlign w:val="center"/>
          </w:tcPr>
          <w:p w14:paraId="156D344F">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08E767B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绿色食品产业园</w:t>
            </w:r>
          </w:p>
        </w:tc>
        <w:tc>
          <w:tcPr>
            <w:tcW w:w="1701" w:type="dxa"/>
            <w:shd w:val="clear" w:color="auto" w:fill="auto"/>
            <w:vAlign w:val="center"/>
          </w:tcPr>
          <w:p w14:paraId="08D9B5C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猫哆哩、云南玉农兴联科技发展有限公司、云南夜草生物科技有限公司、玉溪沈氏生物科技有限公司</w:t>
            </w:r>
          </w:p>
        </w:tc>
        <w:tc>
          <w:tcPr>
            <w:tcW w:w="6656" w:type="dxa"/>
            <w:shd w:val="clear" w:color="auto" w:fill="auto"/>
            <w:vAlign w:val="center"/>
          </w:tcPr>
          <w:p w14:paraId="472238AA">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计划投资3.25亿元。1、云南猫哆哩集团食品有限公司投资5500万元，建设果蔬新产品开发及生产线、果酱新产品开发及生产线；2、云南玉农兴联科技发展有限公司投资1.1亿元，新建</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万吨柑桔类颗粒、含片加工生产</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生产线；3、云南夜草生物科技有限公司投资6000万元，新建果蔬浓缩汁、果蔬冻干粉、果蔬冻干片、高膳食纤维营养水果粉等新产品项目；4、玉溪沈氏生物科技有限公司投资1亿元，由拨云堂第十代传人沈永钢等投资兴建，生产沈氏痔疮膏、沈氏消毒液、沈氏保健品。</w:t>
            </w:r>
          </w:p>
        </w:tc>
        <w:tc>
          <w:tcPr>
            <w:tcW w:w="1418" w:type="dxa"/>
            <w:shd w:val="clear" w:color="auto" w:fill="auto"/>
            <w:vAlign w:val="center"/>
          </w:tcPr>
          <w:p w14:paraId="1F3FBC9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2F54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709" w:type="dxa"/>
            <w:shd w:val="clear" w:color="auto" w:fill="auto"/>
            <w:noWrap/>
            <w:vAlign w:val="center"/>
          </w:tcPr>
          <w:p w14:paraId="248AA21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41</w:t>
            </w:r>
          </w:p>
        </w:tc>
        <w:tc>
          <w:tcPr>
            <w:tcW w:w="1276" w:type="dxa"/>
            <w:vMerge w:val="continue"/>
            <w:vAlign w:val="center"/>
          </w:tcPr>
          <w:p w14:paraId="6AF632FB">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21D5790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智能化控制年加工15万吨食用油精炼生产线项目</w:t>
            </w:r>
          </w:p>
        </w:tc>
        <w:tc>
          <w:tcPr>
            <w:tcW w:w="1701" w:type="dxa"/>
            <w:shd w:val="clear" w:color="auto" w:fill="auto"/>
            <w:vAlign w:val="center"/>
          </w:tcPr>
          <w:p w14:paraId="7613401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云南滇雪粮油有限公司</w:t>
            </w:r>
          </w:p>
        </w:tc>
        <w:tc>
          <w:tcPr>
            <w:tcW w:w="6656" w:type="dxa"/>
            <w:shd w:val="clear" w:color="auto" w:fill="auto"/>
            <w:vAlign w:val="center"/>
          </w:tcPr>
          <w:p w14:paraId="30068428">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亿元。项目用地约50亩，新建智能化全精炼植物油生产线，可精炼菜籽油、大豆油、葵花籽油、玉米油、花生油、核桃油等植物油；新建注塑和吹瓶生产线、包装箱生产线，配套储油罐、成品仓库。项目设计能力：年加工15万吨食用植物油。</w:t>
            </w:r>
          </w:p>
        </w:tc>
        <w:tc>
          <w:tcPr>
            <w:tcW w:w="1418" w:type="dxa"/>
            <w:shd w:val="clear" w:color="auto" w:fill="auto"/>
            <w:vAlign w:val="center"/>
          </w:tcPr>
          <w:p w14:paraId="5AEEC3F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4D8F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709" w:type="dxa"/>
            <w:shd w:val="clear" w:color="auto" w:fill="auto"/>
            <w:noWrap/>
            <w:vAlign w:val="center"/>
          </w:tcPr>
          <w:p w14:paraId="553C665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42</w:t>
            </w:r>
          </w:p>
        </w:tc>
        <w:tc>
          <w:tcPr>
            <w:tcW w:w="1276" w:type="dxa"/>
            <w:vMerge w:val="continue"/>
            <w:vAlign w:val="center"/>
          </w:tcPr>
          <w:p w14:paraId="573A7247">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61DE080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年产90万台医用制氧设备项目</w:t>
            </w:r>
          </w:p>
        </w:tc>
        <w:tc>
          <w:tcPr>
            <w:tcW w:w="1701" w:type="dxa"/>
            <w:shd w:val="clear" w:color="auto" w:fill="auto"/>
            <w:vAlign w:val="center"/>
          </w:tcPr>
          <w:p w14:paraId="25D78B6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玉溪西美西节能减排服务有限责任公司</w:t>
            </w:r>
          </w:p>
        </w:tc>
        <w:tc>
          <w:tcPr>
            <w:tcW w:w="6656" w:type="dxa"/>
            <w:shd w:val="clear" w:color="auto" w:fill="auto"/>
            <w:noWrap/>
            <w:vAlign w:val="center"/>
          </w:tcPr>
          <w:p w14:paraId="27CD3C70">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3.5亿元。占地45亩，采用膜分离制氧机自制供氧技术，采购机器人机加工站、管路焊接生产线、分离组件组装生产线、医用供氧设备总装生产线、医用便携式供氧设备半自动生产线等设备，形成年产2亿立方供氧产能。</w:t>
            </w:r>
          </w:p>
        </w:tc>
        <w:tc>
          <w:tcPr>
            <w:tcW w:w="1418" w:type="dxa"/>
            <w:shd w:val="clear" w:color="auto" w:fill="auto"/>
            <w:noWrap/>
            <w:vAlign w:val="center"/>
          </w:tcPr>
          <w:p w14:paraId="2F13C3F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2021—2023</w:t>
            </w:r>
          </w:p>
        </w:tc>
      </w:tr>
      <w:tr w14:paraId="5354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shd w:val="clear" w:color="auto" w:fill="auto"/>
            <w:noWrap/>
            <w:vAlign w:val="center"/>
          </w:tcPr>
          <w:p w14:paraId="52FC4DF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43</w:t>
            </w:r>
          </w:p>
        </w:tc>
        <w:tc>
          <w:tcPr>
            <w:tcW w:w="1276" w:type="dxa"/>
            <w:vMerge w:val="continue"/>
            <w:vAlign w:val="center"/>
          </w:tcPr>
          <w:p w14:paraId="5CC74095">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0C986DD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玉溪永荣医疗器械有限公司医用耗材生产项目</w:t>
            </w:r>
          </w:p>
        </w:tc>
        <w:tc>
          <w:tcPr>
            <w:tcW w:w="1701" w:type="dxa"/>
            <w:shd w:val="clear" w:color="auto" w:fill="auto"/>
            <w:vAlign w:val="center"/>
          </w:tcPr>
          <w:p w14:paraId="3C9781C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玉溪永荣医疗器械有限公司</w:t>
            </w:r>
          </w:p>
        </w:tc>
        <w:tc>
          <w:tcPr>
            <w:tcW w:w="6656" w:type="dxa"/>
            <w:shd w:val="clear" w:color="auto" w:fill="auto"/>
            <w:vAlign w:val="center"/>
          </w:tcPr>
          <w:p w14:paraId="5AF563DE">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计划投资1.3亿元。项目拟占地面积10亩，主要生产一次性口罩、帽子；一次性中单、一次性医用棉签；一次性产包、一次性纱布块；病床、柜、推车等。</w:t>
            </w:r>
          </w:p>
        </w:tc>
        <w:tc>
          <w:tcPr>
            <w:tcW w:w="1418" w:type="dxa"/>
            <w:shd w:val="clear" w:color="auto" w:fill="auto"/>
            <w:vAlign w:val="center"/>
          </w:tcPr>
          <w:p w14:paraId="7370516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2021—2023</w:t>
            </w:r>
          </w:p>
        </w:tc>
      </w:tr>
      <w:tr w14:paraId="3613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noWrap/>
            <w:vAlign w:val="center"/>
          </w:tcPr>
          <w:p w14:paraId="66FE2D4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44</w:t>
            </w:r>
          </w:p>
        </w:tc>
        <w:tc>
          <w:tcPr>
            <w:tcW w:w="1276" w:type="dxa"/>
            <w:vMerge w:val="continue"/>
            <w:vAlign w:val="center"/>
          </w:tcPr>
          <w:p w14:paraId="6818A0C2">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7BA6C2E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鲁玉绿色建材产业园项目</w:t>
            </w:r>
          </w:p>
        </w:tc>
        <w:tc>
          <w:tcPr>
            <w:tcW w:w="1701" w:type="dxa"/>
            <w:shd w:val="clear" w:color="auto" w:fill="auto"/>
            <w:vAlign w:val="center"/>
          </w:tcPr>
          <w:p w14:paraId="133B945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noWrap/>
            <w:vAlign w:val="center"/>
          </w:tcPr>
          <w:p w14:paraId="58B8F0C6">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3.5亿元。占地45亩，采用膜分离制氧机自制供氧技术，采购机器人机加工站、管路焊接生产线、分离组件组装生产线、医用供氧设备总装生产线、医用便携式供氧设备半自动生产线等设备，形成年产2亿立方供氧产能。</w:t>
            </w:r>
          </w:p>
        </w:tc>
        <w:tc>
          <w:tcPr>
            <w:tcW w:w="1418" w:type="dxa"/>
            <w:shd w:val="clear" w:color="auto" w:fill="auto"/>
            <w:noWrap/>
            <w:vAlign w:val="center"/>
          </w:tcPr>
          <w:p w14:paraId="6A68BA1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2021—2023</w:t>
            </w:r>
          </w:p>
        </w:tc>
      </w:tr>
      <w:tr w14:paraId="6606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09" w:type="dxa"/>
            <w:shd w:val="clear" w:color="auto" w:fill="auto"/>
            <w:noWrap/>
            <w:vAlign w:val="center"/>
          </w:tcPr>
          <w:p w14:paraId="2067AA5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45</w:t>
            </w:r>
          </w:p>
        </w:tc>
        <w:tc>
          <w:tcPr>
            <w:tcW w:w="1276" w:type="dxa"/>
            <w:vMerge w:val="restart"/>
            <w:shd w:val="clear" w:color="auto" w:fill="auto"/>
            <w:vAlign w:val="center"/>
          </w:tcPr>
          <w:p w14:paraId="3F53A06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现代服务业</w:t>
            </w:r>
          </w:p>
        </w:tc>
        <w:tc>
          <w:tcPr>
            <w:tcW w:w="2127" w:type="dxa"/>
            <w:shd w:val="clear" w:color="auto" w:fill="auto"/>
            <w:vAlign w:val="center"/>
          </w:tcPr>
          <w:p w14:paraId="4B0F2E0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现代国际物流综合服务体系建设项目</w:t>
            </w:r>
          </w:p>
        </w:tc>
        <w:tc>
          <w:tcPr>
            <w:tcW w:w="1701" w:type="dxa"/>
            <w:shd w:val="clear" w:color="auto" w:fill="auto"/>
            <w:vAlign w:val="center"/>
          </w:tcPr>
          <w:p w14:paraId="704F467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玉溪腾瑞智能科技有限公司</w:t>
            </w:r>
          </w:p>
        </w:tc>
        <w:tc>
          <w:tcPr>
            <w:tcW w:w="6656" w:type="dxa"/>
            <w:shd w:val="clear" w:color="auto" w:fill="auto"/>
            <w:vAlign w:val="center"/>
          </w:tcPr>
          <w:p w14:paraId="734EA5A3">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8600万元。新建信息（调度、安全、监控）综合办公楼6580平方米，建设现代物流信息资源共享平台，包括：汽车信息服务、电子结算信息系统、监控指挥中心等；2、新建车辆维护厂房、仓库等，以及附属配套设施。</w:t>
            </w:r>
          </w:p>
        </w:tc>
        <w:tc>
          <w:tcPr>
            <w:tcW w:w="1418" w:type="dxa"/>
            <w:shd w:val="clear" w:color="auto" w:fill="auto"/>
            <w:vAlign w:val="center"/>
          </w:tcPr>
          <w:p w14:paraId="778D287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6AA1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9" w:type="dxa"/>
            <w:shd w:val="clear" w:color="auto" w:fill="auto"/>
            <w:noWrap/>
            <w:vAlign w:val="center"/>
          </w:tcPr>
          <w:p w14:paraId="2088935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46</w:t>
            </w:r>
          </w:p>
        </w:tc>
        <w:tc>
          <w:tcPr>
            <w:tcW w:w="1276" w:type="dxa"/>
            <w:vMerge w:val="continue"/>
            <w:vAlign w:val="center"/>
          </w:tcPr>
          <w:p w14:paraId="1C5198F0">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3C7B6FD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大宗商品综合物流及城乡物流配送园区</w:t>
            </w:r>
          </w:p>
        </w:tc>
        <w:tc>
          <w:tcPr>
            <w:tcW w:w="1701" w:type="dxa"/>
            <w:shd w:val="clear" w:color="auto" w:fill="auto"/>
            <w:vAlign w:val="center"/>
          </w:tcPr>
          <w:p w14:paraId="2B2C698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3861C093">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计划投资4亿元。建设大宗商品综合物流及城乡物流配送园区</w:t>
            </w:r>
          </w:p>
        </w:tc>
        <w:tc>
          <w:tcPr>
            <w:tcW w:w="1418" w:type="dxa"/>
            <w:shd w:val="clear" w:color="auto" w:fill="auto"/>
            <w:vAlign w:val="center"/>
          </w:tcPr>
          <w:p w14:paraId="0ABB555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2022—2025</w:t>
            </w:r>
          </w:p>
        </w:tc>
      </w:tr>
      <w:tr w14:paraId="515F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noWrap/>
            <w:vAlign w:val="center"/>
          </w:tcPr>
          <w:p w14:paraId="3FD6264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47</w:t>
            </w:r>
          </w:p>
        </w:tc>
        <w:tc>
          <w:tcPr>
            <w:tcW w:w="1276" w:type="dxa"/>
            <w:vMerge w:val="continue"/>
            <w:vAlign w:val="center"/>
          </w:tcPr>
          <w:p w14:paraId="0E6AFFC1">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2F381AE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物流产业园智慧物流建设项目</w:t>
            </w:r>
          </w:p>
        </w:tc>
        <w:tc>
          <w:tcPr>
            <w:tcW w:w="1701" w:type="dxa"/>
            <w:shd w:val="clear" w:color="auto" w:fill="auto"/>
            <w:vAlign w:val="center"/>
          </w:tcPr>
          <w:p w14:paraId="00E23CD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25976811">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计划投资3亿元。建设智慧物流建设项目</w:t>
            </w:r>
          </w:p>
        </w:tc>
        <w:tc>
          <w:tcPr>
            <w:tcW w:w="1418" w:type="dxa"/>
            <w:shd w:val="clear" w:color="auto" w:fill="auto"/>
            <w:vAlign w:val="center"/>
          </w:tcPr>
          <w:p w14:paraId="065F364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2023—2025</w:t>
            </w:r>
          </w:p>
        </w:tc>
      </w:tr>
      <w:tr w14:paraId="6A51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09" w:type="dxa"/>
            <w:shd w:val="clear" w:color="auto" w:fill="auto"/>
            <w:noWrap/>
            <w:vAlign w:val="center"/>
          </w:tcPr>
          <w:p w14:paraId="7453AD1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48</w:t>
            </w:r>
          </w:p>
        </w:tc>
        <w:tc>
          <w:tcPr>
            <w:tcW w:w="1276" w:type="dxa"/>
            <w:vMerge w:val="continue"/>
            <w:vAlign w:val="center"/>
          </w:tcPr>
          <w:p w14:paraId="0EBB351D">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15D93E2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滇中农业电商冷链产业园区</w:t>
            </w:r>
          </w:p>
        </w:tc>
        <w:tc>
          <w:tcPr>
            <w:tcW w:w="1701" w:type="dxa"/>
            <w:shd w:val="clear" w:color="auto" w:fill="auto"/>
            <w:vAlign w:val="center"/>
          </w:tcPr>
          <w:p w14:paraId="6D84E17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玉溪交运有限公司</w:t>
            </w:r>
          </w:p>
        </w:tc>
        <w:tc>
          <w:tcPr>
            <w:tcW w:w="6656" w:type="dxa"/>
            <w:shd w:val="clear" w:color="auto" w:fill="auto"/>
            <w:vAlign w:val="center"/>
          </w:tcPr>
          <w:p w14:paraId="2699F064">
            <w:pPr>
              <w:widowControl/>
              <w:adjustRightInd w:val="0"/>
              <w:snapToGrid w:val="0"/>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计划投资3.25亿元。项目占地107961</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，建设规模：车间冷库52074</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、综合楼3614</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。包括新建综合办公楼2栋、二层冷库10栋，一层加工车间冷库3栋、制冰厂2个、大型停车场2个及项目配套所需设备、公共辅助设施。</w:t>
            </w:r>
          </w:p>
        </w:tc>
        <w:tc>
          <w:tcPr>
            <w:tcW w:w="1418" w:type="dxa"/>
            <w:shd w:val="clear" w:color="auto" w:fill="auto"/>
            <w:vAlign w:val="center"/>
          </w:tcPr>
          <w:p w14:paraId="1673D93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2021-2023</w:t>
            </w:r>
          </w:p>
        </w:tc>
      </w:tr>
      <w:tr w14:paraId="3DFB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709" w:type="dxa"/>
            <w:shd w:val="clear" w:color="auto" w:fill="auto"/>
            <w:noWrap/>
            <w:vAlign w:val="center"/>
          </w:tcPr>
          <w:p w14:paraId="56B7D21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49</w:t>
            </w:r>
          </w:p>
        </w:tc>
        <w:tc>
          <w:tcPr>
            <w:tcW w:w="1276" w:type="dxa"/>
            <w:vMerge w:val="continue"/>
            <w:vAlign w:val="center"/>
          </w:tcPr>
          <w:p w14:paraId="377A1551">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6BBFF88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玉溪市中心城区冷链物流及快递分拣中心项目</w:t>
            </w:r>
          </w:p>
        </w:tc>
        <w:tc>
          <w:tcPr>
            <w:tcW w:w="1701" w:type="dxa"/>
            <w:shd w:val="clear" w:color="auto" w:fill="auto"/>
            <w:vAlign w:val="center"/>
          </w:tcPr>
          <w:p w14:paraId="511C3D7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红塔工业园区</w:t>
            </w:r>
          </w:p>
        </w:tc>
        <w:tc>
          <w:tcPr>
            <w:tcW w:w="6656" w:type="dxa"/>
            <w:shd w:val="clear" w:color="auto" w:fill="auto"/>
            <w:vAlign w:val="center"/>
          </w:tcPr>
          <w:p w14:paraId="176D7171">
            <w:pPr>
              <w:widowControl/>
              <w:adjustRightInd w:val="0"/>
              <w:snapToGrid w:val="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计划投资3.1亿元。1、冷链物流中心，总建筑面积50913</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w:t>
            </w:r>
          </w:p>
          <w:p w14:paraId="6D9A94DB">
            <w:pPr>
              <w:widowControl/>
              <w:adjustRightInd w:val="0"/>
              <w:snapToGrid w:val="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2、分拨、分拣中心，总建筑面积24046</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w:t>
            </w:r>
          </w:p>
          <w:p w14:paraId="40BA57DD">
            <w:pPr>
              <w:widowControl/>
              <w:adjustRightInd w:val="0"/>
              <w:snapToGrid w:val="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3、配套基础设施：（1）合和路：城市支路，道路全长759.72m，红线宽20.00m（前129m红线宽度按照23.50m控制）。（2）废弃物处置场道路，全长236.31m，红线宽度8.0m。</w:t>
            </w:r>
          </w:p>
        </w:tc>
        <w:tc>
          <w:tcPr>
            <w:tcW w:w="1418" w:type="dxa"/>
            <w:shd w:val="clear" w:color="auto" w:fill="auto"/>
            <w:vAlign w:val="center"/>
          </w:tcPr>
          <w:p w14:paraId="13DE380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1AF0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9" w:type="dxa"/>
            <w:shd w:val="clear" w:color="auto" w:fill="auto"/>
            <w:noWrap/>
            <w:vAlign w:val="center"/>
          </w:tcPr>
          <w:p w14:paraId="5C9442F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50</w:t>
            </w:r>
          </w:p>
        </w:tc>
        <w:tc>
          <w:tcPr>
            <w:tcW w:w="1276" w:type="dxa"/>
            <w:vMerge w:val="continue"/>
            <w:vAlign w:val="center"/>
          </w:tcPr>
          <w:p w14:paraId="4C797107">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22F1862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滇中冷链物流深加工项目</w:t>
            </w:r>
          </w:p>
        </w:tc>
        <w:tc>
          <w:tcPr>
            <w:tcW w:w="1701" w:type="dxa"/>
            <w:shd w:val="clear" w:color="auto" w:fill="auto"/>
            <w:vAlign w:val="center"/>
          </w:tcPr>
          <w:p w14:paraId="02A44BD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7A353C76">
            <w:pPr>
              <w:widowControl/>
              <w:adjustRightInd w:val="0"/>
              <w:snapToGrid w:val="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计划投资1.96亿元。通过盘活红塔工业园区观音山片区被法院执行的61亩用地，建设农产品、鲜花、水果等深加工基地，配套冷链物流设施设备。</w:t>
            </w:r>
          </w:p>
        </w:tc>
        <w:tc>
          <w:tcPr>
            <w:tcW w:w="1418" w:type="dxa"/>
            <w:shd w:val="clear" w:color="auto" w:fill="auto"/>
            <w:vAlign w:val="center"/>
          </w:tcPr>
          <w:p w14:paraId="2EB0E9C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5D35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9" w:type="dxa"/>
            <w:shd w:val="clear" w:color="auto" w:fill="auto"/>
            <w:noWrap/>
            <w:vAlign w:val="center"/>
          </w:tcPr>
          <w:p w14:paraId="22D4234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51</w:t>
            </w:r>
          </w:p>
        </w:tc>
        <w:tc>
          <w:tcPr>
            <w:tcW w:w="1276" w:type="dxa"/>
            <w:vMerge w:val="continue"/>
            <w:vAlign w:val="center"/>
          </w:tcPr>
          <w:p w14:paraId="4DEC2A71">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57DE525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玉溪路通物流配送中心建设项目</w:t>
            </w:r>
          </w:p>
        </w:tc>
        <w:tc>
          <w:tcPr>
            <w:tcW w:w="1701" w:type="dxa"/>
            <w:shd w:val="clear" w:color="auto" w:fill="auto"/>
            <w:vAlign w:val="center"/>
          </w:tcPr>
          <w:p w14:paraId="6E90D64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玉溪路通物流有限公司</w:t>
            </w:r>
          </w:p>
        </w:tc>
        <w:tc>
          <w:tcPr>
            <w:tcW w:w="6656" w:type="dxa"/>
            <w:shd w:val="clear" w:color="auto" w:fill="auto"/>
            <w:vAlign w:val="center"/>
          </w:tcPr>
          <w:p w14:paraId="2319715D">
            <w:pPr>
              <w:widowControl/>
              <w:adjustRightInd w:val="0"/>
              <w:snapToGrid w:val="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计划投资2700万元。新建仓储、停车场、办公楼及附属配套设施</w:t>
            </w:r>
          </w:p>
        </w:tc>
        <w:tc>
          <w:tcPr>
            <w:tcW w:w="1418" w:type="dxa"/>
            <w:shd w:val="clear" w:color="auto" w:fill="auto"/>
            <w:vAlign w:val="center"/>
          </w:tcPr>
          <w:p w14:paraId="7696191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001A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9" w:type="dxa"/>
            <w:shd w:val="clear" w:color="auto" w:fill="auto"/>
            <w:noWrap/>
            <w:vAlign w:val="center"/>
          </w:tcPr>
          <w:p w14:paraId="4ECF2DC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52</w:t>
            </w:r>
          </w:p>
        </w:tc>
        <w:tc>
          <w:tcPr>
            <w:tcW w:w="1276" w:type="dxa"/>
            <w:vMerge w:val="continue"/>
            <w:vAlign w:val="center"/>
          </w:tcPr>
          <w:p w14:paraId="28D6CD6D">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44E229F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玉溪金腾物流服务中心建设项目</w:t>
            </w:r>
          </w:p>
        </w:tc>
        <w:tc>
          <w:tcPr>
            <w:tcW w:w="1701" w:type="dxa"/>
            <w:shd w:val="clear" w:color="auto" w:fill="auto"/>
            <w:vAlign w:val="center"/>
          </w:tcPr>
          <w:p w14:paraId="25EB72C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云南玉溪金腾汽车运输有限公司</w:t>
            </w:r>
          </w:p>
        </w:tc>
        <w:tc>
          <w:tcPr>
            <w:tcW w:w="6656" w:type="dxa"/>
            <w:shd w:val="clear" w:color="auto" w:fill="auto"/>
            <w:vAlign w:val="center"/>
          </w:tcPr>
          <w:p w14:paraId="2E81E53C">
            <w:pPr>
              <w:widowControl/>
              <w:adjustRightInd w:val="0"/>
              <w:snapToGrid w:val="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计划投资4310万元。项目占地32.616亩，建设面积24069.12平方米，主要建设办公楼、仓库、停车场及配套附属设施，建设形成集仓储、物流运输、加工、信息为一体，年仓储运输57万吨的规模。</w:t>
            </w:r>
          </w:p>
        </w:tc>
        <w:tc>
          <w:tcPr>
            <w:tcW w:w="1418" w:type="dxa"/>
            <w:shd w:val="clear" w:color="auto" w:fill="auto"/>
            <w:vAlign w:val="center"/>
          </w:tcPr>
          <w:p w14:paraId="64113B8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2FE2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709" w:type="dxa"/>
            <w:shd w:val="clear" w:color="auto" w:fill="auto"/>
            <w:noWrap/>
            <w:vAlign w:val="center"/>
          </w:tcPr>
          <w:p w14:paraId="1446C05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53</w:t>
            </w:r>
          </w:p>
        </w:tc>
        <w:tc>
          <w:tcPr>
            <w:tcW w:w="1276" w:type="dxa"/>
            <w:vMerge w:val="restart"/>
            <w:shd w:val="clear" w:color="auto" w:fill="auto"/>
            <w:vAlign w:val="center"/>
          </w:tcPr>
          <w:p w14:paraId="0F62C4B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新能源新材料</w:t>
            </w:r>
          </w:p>
        </w:tc>
        <w:tc>
          <w:tcPr>
            <w:tcW w:w="2127" w:type="dxa"/>
            <w:shd w:val="clear" w:color="auto" w:fill="auto"/>
            <w:vAlign w:val="center"/>
          </w:tcPr>
          <w:p w14:paraId="3CCAAAF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新能源新材料产业园</w:t>
            </w:r>
          </w:p>
        </w:tc>
        <w:tc>
          <w:tcPr>
            <w:tcW w:w="1701" w:type="dxa"/>
            <w:shd w:val="clear" w:color="auto" w:fill="auto"/>
            <w:vAlign w:val="center"/>
          </w:tcPr>
          <w:p w14:paraId="2016DD3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61A4C1CA">
            <w:pPr>
              <w:widowControl/>
              <w:adjustRightInd w:val="0"/>
              <w:snapToGrid w:val="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计划投资5亿元。建设6栋标准化厂房，每栋5层，总占地69.8亩，总建筑面积75028</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；配套建设供电、电信、绿化、亮化、充电桩等设施。配套实施云南省新能源电池及材料产业技术研究院、先进锂电池云南联合实验室等平台建设，夯实新能源新材料产业发展基础。</w:t>
            </w:r>
          </w:p>
        </w:tc>
        <w:tc>
          <w:tcPr>
            <w:tcW w:w="1418" w:type="dxa"/>
            <w:shd w:val="clear" w:color="auto" w:fill="auto"/>
            <w:vAlign w:val="center"/>
          </w:tcPr>
          <w:p w14:paraId="65C00DE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1ECF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noWrap/>
            <w:vAlign w:val="center"/>
          </w:tcPr>
          <w:p w14:paraId="4D49BD5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54</w:t>
            </w:r>
          </w:p>
        </w:tc>
        <w:tc>
          <w:tcPr>
            <w:tcW w:w="1276" w:type="dxa"/>
            <w:vMerge w:val="continue"/>
            <w:shd w:val="clear" w:color="auto" w:fill="auto"/>
            <w:vAlign w:val="center"/>
          </w:tcPr>
          <w:p w14:paraId="1A1F2665">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724D93D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装备/新材料产业园特种纤维复合材料研发项目</w:t>
            </w:r>
          </w:p>
        </w:tc>
        <w:tc>
          <w:tcPr>
            <w:tcW w:w="1701" w:type="dxa"/>
            <w:shd w:val="clear" w:color="auto" w:fill="auto"/>
            <w:vAlign w:val="center"/>
          </w:tcPr>
          <w:p w14:paraId="16ABA2B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noWrap/>
            <w:vAlign w:val="center"/>
          </w:tcPr>
          <w:p w14:paraId="760E2DE7">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计划投资9亿元。建设特种纤维复合材料研发项目</w:t>
            </w:r>
          </w:p>
        </w:tc>
        <w:tc>
          <w:tcPr>
            <w:tcW w:w="1418" w:type="dxa"/>
            <w:shd w:val="clear" w:color="auto" w:fill="auto"/>
            <w:noWrap/>
            <w:vAlign w:val="center"/>
          </w:tcPr>
          <w:p w14:paraId="41DD639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5906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noWrap/>
            <w:vAlign w:val="center"/>
          </w:tcPr>
          <w:p w14:paraId="10721AA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55</w:t>
            </w:r>
          </w:p>
        </w:tc>
        <w:tc>
          <w:tcPr>
            <w:tcW w:w="1276" w:type="dxa"/>
            <w:vMerge w:val="continue"/>
            <w:shd w:val="clear" w:color="auto" w:fill="auto"/>
            <w:vAlign w:val="center"/>
          </w:tcPr>
          <w:p w14:paraId="5F5C6C89">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217A531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装备/新材料产业园锂电池负极材料项目</w:t>
            </w:r>
          </w:p>
        </w:tc>
        <w:tc>
          <w:tcPr>
            <w:tcW w:w="1701" w:type="dxa"/>
            <w:shd w:val="clear" w:color="auto" w:fill="auto"/>
            <w:vAlign w:val="center"/>
          </w:tcPr>
          <w:p w14:paraId="16094EA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6642C9AA">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计划投资1亿元。建设锂电池负极材料项目</w:t>
            </w:r>
          </w:p>
        </w:tc>
        <w:tc>
          <w:tcPr>
            <w:tcW w:w="1418" w:type="dxa"/>
            <w:shd w:val="clear" w:color="auto" w:fill="auto"/>
            <w:noWrap/>
            <w:vAlign w:val="center"/>
          </w:tcPr>
          <w:p w14:paraId="74A2FB4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6261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709" w:type="dxa"/>
            <w:shd w:val="clear" w:color="auto" w:fill="auto"/>
            <w:noWrap/>
            <w:vAlign w:val="center"/>
          </w:tcPr>
          <w:p w14:paraId="718ED43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56</w:t>
            </w:r>
          </w:p>
        </w:tc>
        <w:tc>
          <w:tcPr>
            <w:tcW w:w="1276" w:type="dxa"/>
            <w:vMerge w:val="continue"/>
            <w:shd w:val="clear" w:color="auto" w:fill="auto"/>
            <w:vAlign w:val="center"/>
          </w:tcPr>
          <w:p w14:paraId="518889B5">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41ECB72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装备/新材料产业园（土地开发和基础设施建设）</w:t>
            </w:r>
          </w:p>
        </w:tc>
        <w:tc>
          <w:tcPr>
            <w:tcW w:w="1701" w:type="dxa"/>
            <w:shd w:val="clear" w:color="auto" w:fill="auto"/>
            <w:vAlign w:val="center"/>
          </w:tcPr>
          <w:p w14:paraId="217B576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14F4408C">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计划投资10亿元。以观音山已建成的区域和原春和红砖厂地块（约2500亩），打造</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先进装备制造产业园</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新材料产业园</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先进装备制造产业园</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主要突出先进装备制造和中国南亚东南亚装备制造中小企业合作示范园两大特色。</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新材料产业园</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重点在突出新型建筑工厂化生产和推动绿色发展上展示特色。</w:t>
            </w:r>
          </w:p>
        </w:tc>
        <w:tc>
          <w:tcPr>
            <w:tcW w:w="1418" w:type="dxa"/>
            <w:shd w:val="clear" w:color="auto" w:fill="auto"/>
            <w:vAlign w:val="center"/>
          </w:tcPr>
          <w:p w14:paraId="1B2F6D6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2053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709" w:type="dxa"/>
            <w:shd w:val="clear" w:color="auto" w:fill="auto"/>
            <w:noWrap/>
            <w:vAlign w:val="center"/>
          </w:tcPr>
          <w:p w14:paraId="2A73EF0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57</w:t>
            </w:r>
          </w:p>
        </w:tc>
        <w:tc>
          <w:tcPr>
            <w:tcW w:w="1276" w:type="dxa"/>
            <w:vMerge w:val="continue"/>
            <w:shd w:val="clear" w:color="auto" w:fill="auto"/>
            <w:vAlign w:val="center"/>
          </w:tcPr>
          <w:p w14:paraId="0CBC2BA5">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6E92FC5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年产10万吨高镍三元材料、无钴材料等镍系列锂电池正极材料项目</w:t>
            </w:r>
          </w:p>
        </w:tc>
        <w:tc>
          <w:tcPr>
            <w:tcW w:w="1701" w:type="dxa"/>
            <w:shd w:val="clear" w:color="auto" w:fill="auto"/>
            <w:vAlign w:val="center"/>
          </w:tcPr>
          <w:p w14:paraId="304A80B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13CB3550">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30亿元。建设年产10万吨高镍三元材料、无钴材料（NA、NM、NT…）等镍系列锂电池正极材料项目，总投资约30亿元，占地500亩，分五年建成，每组生产线的建设周期为1年，第一年建设年产2万吨镍系生产线，占地150亩，投资7亿；第二年到第五年各建设年产2万吨镍系生产线，达产后产值可达130-150亿元</w:t>
            </w:r>
          </w:p>
        </w:tc>
        <w:tc>
          <w:tcPr>
            <w:tcW w:w="1418" w:type="dxa"/>
            <w:shd w:val="clear" w:color="auto" w:fill="auto"/>
            <w:vAlign w:val="center"/>
          </w:tcPr>
          <w:p w14:paraId="34EACC8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7244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709" w:type="dxa"/>
            <w:shd w:val="clear" w:color="auto" w:fill="auto"/>
            <w:noWrap/>
            <w:vAlign w:val="center"/>
          </w:tcPr>
          <w:p w14:paraId="2D7263B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58</w:t>
            </w:r>
          </w:p>
        </w:tc>
        <w:tc>
          <w:tcPr>
            <w:tcW w:w="1276" w:type="dxa"/>
            <w:vMerge w:val="continue"/>
            <w:shd w:val="clear" w:color="auto" w:fill="auto"/>
            <w:vAlign w:val="center"/>
          </w:tcPr>
          <w:p w14:paraId="12BBF889">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7E02422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年产5万吨碳酸锂、氢氧化锂、磷酸锂、磷酸铁、镍钴锰盐等锂系辅助材料项目</w:t>
            </w:r>
          </w:p>
        </w:tc>
        <w:tc>
          <w:tcPr>
            <w:tcW w:w="1701" w:type="dxa"/>
            <w:shd w:val="clear" w:color="auto" w:fill="auto"/>
            <w:vAlign w:val="center"/>
          </w:tcPr>
          <w:p w14:paraId="7786A4F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0A7EC42B">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10亿元。建设年产5万吨碳酸锂，氢氧化锂，磷酸锂，磷酸铁，镍钴锰盐等锂系辅助材料项目，总投资约10亿元，占地300亩，分三年建成，每组生产线的建设周期为1年，第一年建设年产1万吨锂系辅助材料生产线，占地100亩，投资2亿；第二年、第三年各建设年产2万吨锂系辅助材料生产线，达产后产值可达20-30亿元。</w:t>
            </w:r>
          </w:p>
        </w:tc>
        <w:tc>
          <w:tcPr>
            <w:tcW w:w="1418" w:type="dxa"/>
            <w:shd w:val="clear" w:color="auto" w:fill="auto"/>
            <w:vAlign w:val="center"/>
          </w:tcPr>
          <w:p w14:paraId="61FAC2D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3744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709" w:type="dxa"/>
            <w:shd w:val="clear" w:color="auto" w:fill="auto"/>
            <w:noWrap/>
            <w:vAlign w:val="center"/>
          </w:tcPr>
          <w:p w14:paraId="1106F44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59</w:t>
            </w:r>
          </w:p>
        </w:tc>
        <w:tc>
          <w:tcPr>
            <w:tcW w:w="1276" w:type="dxa"/>
            <w:vMerge w:val="continue"/>
            <w:shd w:val="clear" w:color="auto" w:fill="auto"/>
            <w:vAlign w:val="center"/>
          </w:tcPr>
          <w:p w14:paraId="55508733">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516315B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年产30万吨动力型磷酸铁锂正极材料项目</w:t>
            </w:r>
          </w:p>
        </w:tc>
        <w:tc>
          <w:tcPr>
            <w:tcW w:w="1701" w:type="dxa"/>
            <w:shd w:val="clear" w:color="auto" w:fill="auto"/>
            <w:vAlign w:val="center"/>
          </w:tcPr>
          <w:p w14:paraId="3A639A1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723CE0C4">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50亿元。建设年产30万吨动力型磷酸铁锂正极材料项目，总投资约50亿元，占地800亩，分6年建成，每组生产线的建设周期为1年，第一年建设年产5万吨磷酸铁锂生产线，占地200亩，投资7亿；第二年到第六年各建设年产5万吨磷酸铁锂生产线，每年投资7亿，达产后产值超100亿元</w:t>
            </w:r>
          </w:p>
        </w:tc>
        <w:tc>
          <w:tcPr>
            <w:tcW w:w="1418" w:type="dxa"/>
            <w:shd w:val="clear" w:color="auto" w:fill="auto"/>
            <w:vAlign w:val="center"/>
          </w:tcPr>
          <w:p w14:paraId="2FADD64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5E4B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noWrap/>
            <w:vAlign w:val="center"/>
          </w:tcPr>
          <w:p w14:paraId="7F5595C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60</w:t>
            </w:r>
          </w:p>
        </w:tc>
        <w:tc>
          <w:tcPr>
            <w:tcW w:w="1276" w:type="dxa"/>
            <w:vMerge w:val="continue"/>
            <w:shd w:val="clear" w:color="auto" w:fill="auto"/>
            <w:vAlign w:val="center"/>
          </w:tcPr>
          <w:p w14:paraId="10865049">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0326392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锂电池隔膜生产项目</w:t>
            </w:r>
          </w:p>
        </w:tc>
        <w:tc>
          <w:tcPr>
            <w:tcW w:w="1701" w:type="dxa"/>
            <w:shd w:val="clear" w:color="auto" w:fill="auto"/>
            <w:vAlign w:val="center"/>
          </w:tcPr>
          <w:p w14:paraId="7A2E1B3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恩捷新材料</w:t>
            </w:r>
          </w:p>
        </w:tc>
        <w:tc>
          <w:tcPr>
            <w:tcW w:w="6656" w:type="dxa"/>
            <w:shd w:val="clear" w:color="auto" w:fill="auto"/>
            <w:vAlign w:val="center"/>
          </w:tcPr>
          <w:p w14:paraId="382579E1">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计划投资24亿元。建设8条锂离子电池隔膜生产线</w:t>
            </w:r>
          </w:p>
        </w:tc>
        <w:tc>
          <w:tcPr>
            <w:tcW w:w="1418" w:type="dxa"/>
            <w:shd w:val="clear" w:color="auto" w:fill="auto"/>
            <w:vAlign w:val="center"/>
          </w:tcPr>
          <w:p w14:paraId="7982227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2021-2023</w:t>
            </w:r>
          </w:p>
        </w:tc>
      </w:tr>
      <w:tr w14:paraId="67E7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709" w:type="dxa"/>
            <w:shd w:val="clear" w:color="auto" w:fill="auto"/>
            <w:noWrap/>
            <w:vAlign w:val="center"/>
          </w:tcPr>
          <w:p w14:paraId="208E201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61</w:t>
            </w:r>
          </w:p>
        </w:tc>
        <w:tc>
          <w:tcPr>
            <w:tcW w:w="1276" w:type="dxa"/>
            <w:vMerge w:val="continue"/>
            <w:shd w:val="clear" w:color="auto" w:fill="auto"/>
            <w:vAlign w:val="center"/>
          </w:tcPr>
          <w:p w14:paraId="3E2C9C2F">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2BEC23F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先进锂电池联合实验室</w:t>
            </w:r>
          </w:p>
        </w:tc>
        <w:tc>
          <w:tcPr>
            <w:tcW w:w="1701" w:type="dxa"/>
            <w:shd w:val="clear" w:color="auto" w:fill="auto"/>
            <w:vAlign w:val="center"/>
          </w:tcPr>
          <w:p w14:paraId="060A929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云南省科学技术院、清华大学、恩力新能源科技公司</w:t>
            </w:r>
          </w:p>
        </w:tc>
        <w:tc>
          <w:tcPr>
            <w:tcW w:w="6656" w:type="dxa"/>
            <w:shd w:val="clear" w:color="auto" w:fill="auto"/>
            <w:vAlign w:val="center"/>
          </w:tcPr>
          <w:p w14:paraId="517A2F76">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计划投资8000万元。开展先进电池关键技术研发、工程化应用研究、公共研发平台、技术创新及产业发展战略研究以及下一代新能源电池及材料技术前瞻性研究，建设实验设备生产线、产品工程化生产线等</w:t>
            </w:r>
          </w:p>
        </w:tc>
        <w:tc>
          <w:tcPr>
            <w:tcW w:w="1418" w:type="dxa"/>
            <w:shd w:val="clear" w:color="auto" w:fill="auto"/>
            <w:vAlign w:val="center"/>
          </w:tcPr>
          <w:p w14:paraId="2F00D93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1606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09" w:type="dxa"/>
            <w:tcBorders>
              <w:bottom w:val="single" w:color="auto" w:sz="4" w:space="0"/>
            </w:tcBorders>
            <w:shd w:val="clear" w:color="auto" w:fill="auto"/>
            <w:noWrap/>
            <w:vAlign w:val="center"/>
          </w:tcPr>
          <w:p w14:paraId="4AB52A6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62</w:t>
            </w:r>
          </w:p>
        </w:tc>
        <w:tc>
          <w:tcPr>
            <w:tcW w:w="1276" w:type="dxa"/>
            <w:vMerge w:val="continue"/>
            <w:tcBorders>
              <w:bottom w:val="single" w:color="auto" w:sz="4" w:space="0"/>
            </w:tcBorders>
            <w:shd w:val="clear" w:color="auto" w:fill="auto"/>
            <w:vAlign w:val="center"/>
          </w:tcPr>
          <w:p w14:paraId="6D0AB3F3">
            <w:pPr>
              <w:widowControl/>
              <w:jc w:val="left"/>
              <w:rPr>
                <w:rFonts w:hint="default" w:ascii="Times New Roman" w:hAnsi="Times New Roman" w:eastAsia="仿宋_GB2312" w:cs="Times New Roman"/>
                <w:kern w:val="0"/>
                <w:sz w:val="24"/>
                <w:szCs w:val="24"/>
              </w:rPr>
            </w:pPr>
          </w:p>
        </w:tc>
        <w:tc>
          <w:tcPr>
            <w:tcW w:w="2127" w:type="dxa"/>
            <w:tcBorders>
              <w:bottom w:val="single" w:color="auto" w:sz="4" w:space="0"/>
            </w:tcBorders>
            <w:shd w:val="clear" w:color="auto" w:fill="auto"/>
            <w:vAlign w:val="center"/>
          </w:tcPr>
          <w:p w14:paraId="2E790C7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新能源电池检测中心</w:t>
            </w:r>
          </w:p>
        </w:tc>
        <w:tc>
          <w:tcPr>
            <w:tcW w:w="1701" w:type="dxa"/>
            <w:tcBorders>
              <w:bottom w:val="single" w:color="auto" w:sz="4" w:space="0"/>
            </w:tcBorders>
            <w:shd w:val="clear" w:color="auto" w:fill="auto"/>
            <w:vAlign w:val="center"/>
          </w:tcPr>
          <w:p w14:paraId="2F04B72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云南省科学技术院等</w:t>
            </w:r>
          </w:p>
        </w:tc>
        <w:tc>
          <w:tcPr>
            <w:tcW w:w="6656" w:type="dxa"/>
            <w:tcBorders>
              <w:bottom w:val="single" w:color="auto" w:sz="4" w:space="0"/>
            </w:tcBorders>
            <w:shd w:val="clear" w:color="auto" w:fill="auto"/>
            <w:vAlign w:val="center"/>
          </w:tcPr>
          <w:p w14:paraId="7A425C0B">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项目计划投资8000万元。提供电池材料和结构分析、工艺装备标准化、产品型式试验等技术服务和检测认证</w:t>
            </w:r>
          </w:p>
        </w:tc>
        <w:tc>
          <w:tcPr>
            <w:tcW w:w="1418" w:type="dxa"/>
            <w:tcBorders>
              <w:bottom w:val="single" w:color="auto" w:sz="4" w:space="0"/>
            </w:tcBorders>
            <w:shd w:val="clear" w:color="auto" w:fill="auto"/>
            <w:vAlign w:val="center"/>
          </w:tcPr>
          <w:p w14:paraId="70EDA65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55C2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noWrap/>
            <w:vAlign w:val="center"/>
          </w:tcPr>
          <w:p w14:paraId="0D8B409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63</w:t>
            </w:r>
          </w:p>
        </w:tc>
        <w:tc>
          <w:tcPr>
            <w:tcW w:w="1276" w:type="dxa"/>
            <w:vMerge w:val="continue"/>
            <w:shd w:val="clear" w:color="auto" w:fill="auto"/>
            <w:vAlign w:val="center"/>
          </w:tcPr>
          <w:p w14:paraId="6C6C6889">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54EFB26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电子/通讯产业园信息显示窗口材料制造项目</w:t>
            </w:r>
          </w:p>
        </w:tc>
        <w:tc>
          <w:tcPr>
            <w:tcW w:w="1701" w:type="dxa"/>
            <w:shd w:val="clear" w:color="auto" w:fill="auto"/>
            <w:vAlign w:val="center"/>
          </w:tcPr>
          <w:p w14:paraId="5317C29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蓝晶科技等</w:t>
            </w:r>
          </w:p>
        </w:tc>
        <w:tc>
          <w:tcPr>
            <w:tcW w:w="6656" w:type="dxa"/>
            <w:shd w:val="clear" w:color="auto" w:fill="auto"/>
            <w:vAlign w:val="center"/>
          </w:tcPr>
          <w:p w14:paraId="19EC7783">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计划投资5亿元。建设信息显示窗口材料制造项目</w:t>
            </w:r>
          </w:p>
        </w:tc>
        <w:tc>
          <w:tcPr>
            <w:tcW w:w="1418" w:type="dxa"/>
            <w:shd w:val="clear" w:color="auto" w:fill="auto"/>
            <w:vAlign w:val="center"/>
          </w:tcPr>
          <w:p w14:paraId="62F2CAC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2023—2025</w:t>
            </w:r>
          </w:p>
        </w:tc>
      </w:tr>
      <w:tr w14:paraId="7C4F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noWrap/>
            <w:vAlign w:val="center"/>
          </w:tcPr>
          <w:p w14:paraId="4352322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64</w:t>
            </w:r>
          </w:p>
        </w:tc>
        <w:tc>
          <w:tcPr>
            <w:tcW w:w="1276" w:type="dxa"/>
            <w:vMerge w:val="continue"/>
            <w:shd w:val="clear" w:color="auto" w:fill="auto"/>
            <w:vAlign w:val="center"/>
          </w:tcPr>
          <w:p w14:paraId="514E66D1">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587B067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电子/通讯产业园LED广告牌及交通信号显示器项目</w:t>
            </w:r>
          </w:p>
        </w:tc>
        <w:tc>
          <w:tcPr>
            <w:tcW w:w="1701" w:type="dxa"/>
            <w:shd w:val="clear" w:color="auto" w:fill="auto"/>
            <w:vAlign w:val="center"/>
          </w:tcPr>
          <w:p w14:paraId="1DC4527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蓝晶科技等</w:t>
            </w:r>
          </w:p>
        </w:tc>
        <w:tc>
          <w:tcPr>
            <w:tcW w:w="6656" w:type="dxa"/>
            <w:shd w:val="clear" w:color="auto" w:fill="auto"/>
            <w:vAlign w:val="center"/>
          </w:tcPr>
          <w:p w14:paraId="6AFB52F7">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计划投资2亿元。建设LED广告牌及交通信号显示器项目</w:t>
            </w:r>
          </w:p>
        </w:tc>
        <w:tc>
          <w:tcPr>
            <w:tcW w:w="1418" w:type="dxa"/>
            <w:shd w:val="clear" w:color="auto" w:fill="auto"/>
            <w:vAlign w:val="center"/>
          </w:tcPr>
          <w:p w14:paraId="530A083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2022—2025</w:t>
            </w:r>
          </w:p>
        </w:tc>
      </w:tr>
      <w:tr w14:paraId="64F0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noWrap/>
            <w:vAlign w:val="center"/>
          </w:tcPr>
          <w:p w14:paraId="775024E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65</w:t>
            </w:r>
          </w:p>
        </w:tc>
        <w:tc>
          <w:tcPr>
            <w:tcW w:w="1276" w:type="dxa"/>
            <w:vMerge w:val="continue"/>
            <w:shd w:val="clear" w:color="auto" w:fill="auto"/>
            <w:vAlign w:val="center"/>
          </w:tcPr>
          <w:p w14:paraId="74D4202E">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583F072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电子/通讯产业园LED封装项目</w:t>
            </w:r>
          </w:p>
        </w:tc>
        <w:tc>
          <w:tcPr>
            <w:tcW w:w="1701" w:type="dxa"/>
            <w:shd w:val="clear" w:color="auto" w:fill="auto"/>
            <w:vAlign w:val="center"/>
          </w:tcPr>
          <w:p w14:paraId="0231604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蓝晶科技等</w:t>
            </w:r>
          </w:p>
        </w:tc>
        <w:tc>
          <w:tcPr>
            <w:tcW w:w="6656" w:type="dxa"/>
            <w:shd w:val="clear" w:color="auto" w:fill="auto"/>
            <w:noWrap/>
            <w:vAlign w:val="center"/>
          </w:tcPr>
          <w:p w14:paraId="56C4B02D">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计划投资5亿元。建设LED封装项目</w:t>
            </w:r>
          </w:p>
        </w:tc>
        <w:tc>
          <w:tcPr>
            <w:tcW w:w="1418" w:type="dxa"/>
            <w:shd w:val="clear" w:color="auto" w:fill="auto"/>
            <w:vAlign w:val="center"/>
          </w:tcPr>
          <w:p w14:paraId="67A5602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2022—2025</w:t>
            </w:r>
          </w:p>
        </w:tc>
      </w:tr>
      <w:tr w14:paraId="3168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noWrap/>
            <w:vAlign w:val="center"/>
          </w:tcPr>
          <w:p w14:paraId="1F937FA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66</w:t>
            </w:r>
          </w:p>
        </w:tc>
        <w:tc>
          <w:tcPr>
            <w:tcW w:w="1276" w:type="dxa"/>
            <w:vMerge w:val="continue"/>
            <w:shd w:val="clear" w:color="auto" w:fill="auto"/>
            <w:vAlign w:val="center"/>
          </w:tcPr>
          <w:p w14:paraId="2B643D0D">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3C73C88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电子/通讯产业园通讯光纤项目</w:t>
            </w:r>
          </w:p>
        </w:tc>
        <w:tc>
          <w:tcPr>
            <w:tcW w:w="1701" w:type="dxa"/>
            <w:shd w:val="clear" w:color="auto" w:fill="auto"/>
            <w:vAlign w:val="center"/>
          </w:tcPr>
          <w:p w14:paraId="3349A57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蓝晶科技等</w:t>
            </w:r>
          </w:p>
        </w:tc>
        <w:tc>
          <w:tcPr>
            <w:tcW w:w="6656" w:type="dxa"/>
            <w:shd w:val="clear" w:color="auto" w:fill="auto"/>
            <w:vAlign w:val="center"/>
          </w:tcPr>
          <w:p w14:paraId="2734BF90">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计划投资2亿元。建设通讯光纤项目   </w:t>
            </w:r>
          </w:p>
        </w:tc>
        <w:tc>
          <w:tcPr>
            <w:tcW w:w="1418" w:type="dxa"/>
            <w:shd w:val="clear" w:color="auto" w:fill="auto"/>
            <w:vAlign w:val="center"/>
          </w:tcPr>
          <w:p w14:paraId="1B184ED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2022—2025</w:t>
            </w:r>
          </w:p>
        </w:tc>
      </w:tr>
      <w:tr w14:paraId="4854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9" w:type="dxa"/>
            <w:shd w:val="clear" w:color="auto" w:fill="auto"/>
            <w:noWrap/>
            <w:vAlign w:val="center"/>
          </w:tcPr>
          <w:p w14:paraId="10DEAD3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67</w:t>
            </w:r>
          </w:p>
        </w:tc>
        <w:tc>
          <w:tcPr>
            <w:tcW w:w="1276" w:type="dxa"/>
            <w:vMerge w:val="continue"/>
            <w:shd w:val="clear" w:color="auto" w:fill="auto"/>
            <w:vAlign w:val="center"/>
          </w:tcPr>
          <w:p w14:paraId="4C7F0340">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399136F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电子/通讯产业园高亮度发光二极管研发与产业化发展项目</w:t>
            </w:r>
          </w:p>
        </w:tc>
        <w:tc>
          <w:tcPr>
            <w:tcW w:w="1701" w:type="dxa"/>
            <w:shd w:val="clear" w:color="auto" w:fill="auto"/>
            <w:vAlign w:val="center"/>
          </w:tcPr>
          <w:p w14:paraId="44647E0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蓝晶科技等</w:t>
            </w:r>
          </w:p>
        </w:tc>
        <w:tc>
          <w:tcPr>
            <w:tcW w:w="6656" w:type="dxa"/>
            <w:shd w:val="clear" w:color="auto" w:fill="auto"/>
            <w:vAlign w:val="center"/>
          </w:tcPr>
          <w:p w14:paraId="660A8191">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计划投资2亿元。建设高亮度发光二极管研发与产业化发展项目</w:t>
            </w:r>
          </w:p>
        </w:tc>
        <w:tc>
          <w:tcPr>
            <w:tcW w:w="1418" w:type="dxa"/>
            <w:shd w:val="clear" w:color="auto" w:fill="auto"/>
            <w:vAlign w:val="center"/>
          </w:tcPr>
          <w:p w14:paraId="5544923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2022—2025</w:t>
            </w:r>
          </w:p>
        </w:tc>
      </w:tr>
      <w:tr w14:paraId="6DF2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noWrap/>
            <w:vAlign w:val="center"/>
          </w:tcPr>
          <w:p w14:paraId="40B0CFA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68</w:t>
            </w:r>
          </w:p>
        </w:tc>
        <w:tc>
          <w:tcPr>
            <w:tcW w:w="1276" w:type="dxa"/>
            <w:vMerge w:val="continue"/>
            <w:shd w:val="clear" w:color="auto" w:fill="auto"/>
            <w:vAlign w:val="center"/>
          </w:tcPr>
          <w:p w14:paraId="2B6E6A4E">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0BC9DA3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电子/通讯产业园照明蓝（白）光LED项目</w:t>
            </w:r>
          </w:p>
        </w:tc>
        <w:tc>
          <w:tcPr>
            <w:tcW w:w="1701" w:type="dxa"/>
            <w:shd w:val="clear" w:color="auto" w:fill="auto"/>
            <w:vAlign w:val="center"/>
          </w:tcPr>
          <w:p w14:paraId="032C80D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蓝晶科技等</w:t>
            </w:r>
          </w:p>
        </w:tc>
        <w:tc>
          <w:tcPr>
            <w:tcW w:w="6656" w:type="dxa"/>
            <w:shd w:val="clear" w:color="auto" w:fill="auto"/>
            <w:vAlign w:val="center"/>
          </w:tcPr>
          <w:p w14:paraId="7B844EB5">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计划投资4亿元。建设照明蓝（白）光LED项目</w:t>
            </w:r>
          </w:p>
        </w:tc>
        <w:tc>
          <w:tcPr>
            <w:tcW w:w="1418" w:type="dxa"/>
            <w:shd w:val="clear" w:color="auto" w:fill="auto"/>
            <w:vAlign w:val="center"/>
          </w:tcPr>
          <w:p w14:paraId="393A036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2022—2025</w:t>
            </w:r>
          </w:p>
        </w:tc>
      </w:tr>
      <w:tr w14:paraId="5B89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noWrap/>
            <w:vAlign w:val="center"/>
          </w:tcPr>
          <w:p w14:paraId="4399073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69</w:t>
            </w:r>
          </w:p>
        </w:tc>
        <w:tc>
          <w:tcPr>
            <w:tcW w:w="1276" w:type="dxa"/>
            <w:vMerge w:val="continue"/>
            <w:shd w:val="clear" w:color="auto" w:fill="auto"/>
            <w:vAlign w:val="center"/>
          </w:tcPr>
          <w:p w14:paraId="642D24A3">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6424872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电子/通讯产业园低功率蓝光LED、LD项目</w:t>
            </w:r>
          </w:p>
        </w:tc>
        <w:tc>
          <w:tcPr>
            <w:tcW w:w="1701" w:type="dxa"/>
            <w:shd w:val="clear" w:color="auto" w:fill="auto"/>
            <w:vAlign w:val="center"/>
          </w:tcPr>
          <w:p w14:paraId="763AD3B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蓝晶科技等</w:t>
            </w:r>
          </w:p>
        </w:tc>
        <w:tc>
          <w:tcPr>
            <w:tcW w:w="6656" w:type="dxa"/>
            <w:shd w:val="clear" w:color="auto" w:fill="auto"/>
            <w:vAlign w:val="center"/>
          </w:tcPr>
          <w:p w14:paraId="0A23A2CF">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计划投资3亿元。建设低功率蓝光LED、LD生产线。</w:t>
            </w:r>
          </w:p>
        </w:tc>
        <w:tc>
          <w:tcPr>
            <w:tcW w:w="1418" w:type="dxa"/>
            <w:shd w:val="clear" w:color="auto" w:fill="auto"/>
            <w:vAlign w:val="center"/>
          </w:tcPr>
          <w:p w14:paraId="3D14DFC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2022—2025</w:t>
            </w:r>
          </w:p>
        </w:tc>
      </w:tr>
      <w:tr w14:paraId="510F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709" w:type="dxa"/>
            <w:shd w:val="clear" w:color="auto" w:fill="auto"/>
            <w:noWrap/>
            <w:vAlign w:val="center"/>
          </w:tcPr>
          <w:p w14:paraId="3C0CCCF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70</w:t>
            </w:r>
          </w:p>
        </w:tc>
        <w:tc>
          <w:tcPr>
            <w:tcW w:w="1276" w:type="dxa"/>
            <w:vMerge w:val="continue"/>
            <w:shd w:val="clear" w:color="auto" w:fill="auto"/>
            <w:vAlign w:val="center"/>
          </w:tcPr>
          <w:p w14:paraId="267392CA">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38514B0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通讯产业园项目（土地开发和基础设施）</w:t>
            </w:r>
          </w:p>
        </w:tc>
        <w:tc>
          <w:tcPr>
            <w:tcW w:w="1701" w:type="dxa"/>
            <w:shd w:val="clear" w:color="auto" w:fill="auto"/>
            <w:vAlign w:val="center"/>
          </w:tcPr>
          <w:p w14:paraId="1B37C96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蓝晶科技等</w:t>
            </w:r>
          </w:p>
        </w:tc>
        <w:tc>
          <w:tcPr>
            <w:tcW w:w="6656" w:type="dxa"/>
            <w:shd w:val="clear" w:color="auto" w:fill="auto"/>
            <w:vAlign w:val="center"/>
          </w:tcPr>
          <w:p w14:paraId="37AD73B9">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计划投资20亿元。以北城卧牛山地块约2000亩用地和蓝晶科技为依托，打造</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电子/通讯产业园</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形成以蓝宝石衬底基片为龙头，集聚低功率蓝光LED、LD、照明蓝（白）光LED、高亮度发光二极管、通讯光纤等国家战略高新技术领域企业，延伸产业链鼓励微电子、光电子、半导体、光通信、信息显示、精密机械、国防军事等产业入园发展，力求在电子/通讯产业窗口材料及产业链延伸上形成特色和竞争力。</w:t>
            </w:r>
          </w:p>
        </w:tc>
        <w:tc>
          <w:tcPr>
            <w:tcW w:w="1418" w:type="dxa"/>
            <w:shd w:val="clear" w:color="auto" w:fill="auto"/>
            <w:vAlign w:val="center"/>
          </w:tcPr>
          <w:p w14:paraId="3ED17C1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2022—2025</w:t>
            </w:r>
          </w:p>
        </w:tc>
      </w:tr>
      <w:tr w14:paraId="3526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709" w:type="dxa"/>
            <w:shd w:val="clear" w:color="auto" w:fill="auto"/>
            <w:noWrap/>
            <w:vAlign w:val="center"/>
          </w:tcPr>
          <w:p w14:paraId="79D491C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71</w:t>
            </w:r>
          </w:p>
        </w:tc>
        <w:tc>
          <w:tcPr>
            <w:tcW w:w="1276" w:type="dxa"/>
            <w:vMerge w:val="continue"/>
            <w:shd w:val="clear" w:color="auto" w:fill="auto"/>
            <w:vAlign w:val="center"/>
          </w:tcPr>
          <w:p w14:paraId="5384E23B">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2339E93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锂资源产业开发配套项目</w:t>
            </w:r>
          </w:p>
        </w:tc>
        <w:tc>
          <w:tcPr>
            <w:tcW w:w="1701" w:type="dxa"/>
            <w:shd w:val="clear" w:color="auto" w:fill="auto"/>
            <w:vAlign w:val="center"/>
          </w:tcPr>
          <w:p w14:paraId="5D97D68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32012AE5">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计划投资10亿元。以小石桥锂矿资源开发为依托，待玉昆钢铁2023年搬迁后，谋划实施锂资源产业开发配套项目</w:t>
            </w:r>
          </w:p>
        </w:tc>
        <w:tc>
          <w:tcPr>
            <w:tcW w:w="1418" w:type="dxa"/>
            <w:shd w:val="clear" w:color="auto" w:fill="auto"/>
            <w:vAlign w:val="center"/>
          </w:tcPr>
          <w:p w14:paraId="5923B08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2023—2025</w:t>
            </w:r>
          </w:p>
        </w:tc>
      </w:tr>
      <w:tr w14:paraId="07C9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709" w:type="dxa"/>
            <w:shd w:val="clear" w:color="auto" w:fill="auto"/>
            <w:noWrap/>
            <w:vAlign w:val="center"/>
          </w:tcPr>
          <w:p w14:paraId="165B801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72</w:t>
            </w:r>
          </w:p>
        </w:tc>
        <w:tc>
          <w:tcPr>
            <w:tcW w:w="1276" w:type="dxa"/>
            <w:vMerge w:val="continue"/>
            <w:shd w:val="clear" w:color="auto" w:fill="auto"/>
            <w:vAlign w:val="center"/>
          </w:tcPr>
          <w:p w14:paraId="1421BAFB">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1401CA8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恩捷新材料股份有限公司、德新纸业搬迁新建项目</w:t>
            </w:r>
          </w:p>
        </w:tc>
        <w:tc>
          <w:tcPr>
            <w:tcW w:w="1701" w:type="dxa"/>
            <w:shd w:val="clear" w:color="auto" w:fill="auto"/>
            <w:vAlign w:val="center"/>
          </w:tcPr>
          <w:p w14:paraId="0C3F569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恩捷新材料、德新纸业</w:t>
            </w:r>
          </w:p>
        </w:tc>
        <w:tc>
          <w:tcPr>
            <w:tcW w:w="6656" w:type="dxa"/>
            <w:shd w:val="clear" w:color="auto" w:fill="auto"/>
            <w:vAlign w:val="center"/>
          </w:tcPr>
          <w:p w14:paraId="1163BD86">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计划投资2.5亿元。拟用地约80亩，将位于南片区的生产性厂房搬迁至九龙片区新建。</w:t>
            </w:r>
          </w:p>
        </w:tc>
        <w:tc>
          <w:tcPr>
            <w:tcW w:w="1418" w:type="dxa"/>
            <w:shd w:val="clear" w:color="auto" w:fill="auto"/>
            <w:vAlign w:val="center"/>
          </w:tcPr>
          <w:p w14:paraId="12E0C25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2022—2024</w:t>
            </w:r>
          </w:p>
        </w:tc>
      </w:tr>
      <w:tr w14:paraId="72BE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trPr>
        <w:tc>
          <w:tcPr>
            <w:tcW w:w="709" w:type="dxa"/>
            <w:shd w:val="clear" w:color="auto" w:fill="auto"/>
            <w:noWrap/>
            <w:vAlign w:val="center"/>
          </w:tcPr>
          <w:p w14:paraId="28AE12B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73</w:t>
            </w:r>
          </w:p>
        </w:tc>
        <w:tc>
          <w:tcPr>
            <w:tcW w:w="1276" w:type="dxa"/>
            <w:vMerge w:val="restart"/>
            <w:shd w:val="clear" w:color="auto" w:fill="auto"/>
            <w:vAlign w:val="center"/>
          </w:tcPr>
          <w:p w14:paraId="5C665AF0">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数字经济</w:t>
            </w:r>
          </w:p>
        </w:tc>
        <w:tc>
          <w:tcPr>
            <w:tcW w:w="2127" w:type="dxa"/>
            <w:shd w:val="clear" w:color="auto" w:fill="auto"/>
            <w:vAlign w:val="center"/>
          </w:tcPr>
          <w:p w14:paraId="28A17DA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云南（玉溪）大数据及智能制造产业园</w:t>
            </w:r>
          </w:p>
        </w:tc>
        <w:tc>
          <w:tcPr>
            <w:tcW w:w="1701" w:type="dxa"/>
            <w:shd w:val="clear" w:color="auto" w:fill="auto"/>
            <w:vAlign w:val="center"/>
          </w:tcPr>
          <w:p w14:paraId="0142A5D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7355BEB0">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29.4亿元。投资1.6亿元，实施1幢15层49213平方米倒班宿舍建设；投资1.8亿元，实施5幢5层标准厂房建设，总建筑面积93000平方米；投资4亿元，实施玉溪融建大数据中心项目建设，用地面积9881平方米，总建筑面积15760平方米，计划设置1572个机柜；投资20亿元，占地36亩，建设中国移动数据中心；投资2亿元，建设中国电信数据中心。</w:t>
            </w:r>
          </w:p>
        </w:tc>
        <w:tc>
          <w:tcPr>
            <w:tcW w:w="1418" w:type="dxa"/>
            <w:shd w:val="clear" w:color="auto" w:fill="auto"/>
            <w:vAlign w:val="center"/>
          </w:tcPr>
          <w:p w14:paraId="3993A42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7D34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709" w:type="dxa"/>
            <w:shd w:val="clear" w:color="auto" w:fill="auto"/>
            <w:noWrap/>
            <w:vAlign w:val="center"/>
          </w:tcPr>
          <w:p w14:paraId="4703E4C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74</w:t>
            </w:r>
          </w:p>
        </w:tc>
        <w:tc>
          <w:tcPr>
            <w:tcW w:w="1276" w:type="dxa"/>
            <w:vMerge w:val="continue"/>
            <w:shd w:val="clear" w:color="auto" w:fill="auto"/>
            <w:vAlign w:val="center"/>
          </w:tcPr>
          <w:p w14:paraId="02D4AB23">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5E257D7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云南玉溪数字经济产业园及创新创业平台</w:t>
            </w:r>
          </w:p>
        </w:tc>
        <w:tc>
          <w:tcPr>
            <w:tcW w:w="1701" w:type="dxa"/>
            <w:shd w:val="clear" w:color="auto" w:fill="auto"/>
            <w:vAlign w:val="center"/>
          </w:tcPr>
          <w:p w14:paraId="23113C2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557DFD42">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10亿元。打造玉溪数字经济、新经济发展平台。对互联网产业园、双创中心等区域概念性统一提升，统筹部署，大力发展新经济、新业态，促进呼叫外包、软件开发、互联网解决方案、移动支付等数字经济聚集发展。整合互联网产业园、互联网创新园、启迪众创园等平台功能继续加大</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双创</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孵化支持力度，促进就业创业；积极支持京东发挥电商行业培育引领作用，加快发展跨境电商。依托入驻高新区的华为、联通、电信、移动等数据中心，开展智慧园区建设，实现产业数字化、数字产业化。</w:t>
            </w:r>
          </w:p>
        </w:tc>
        <w:tc>
          <w:tcPr>
            <w:tcW w:w="1418" w:type="dxa"/>
            <w:shd w:val="clear" w:color="auto" w:fill="auto"/>
            <w:vAlign w:val="center"/>
          </w:tcPr>
          <w:p w14:paraId="22447A1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2021-2023</w:t>
            </w:r>
          </w:p>
        </w:tc>
      </w:tr>
      <w:tr w14:paraId="4DCD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09" w:type="dxa"/>
            <w:shd w:val="clear" w:color="auto" w:fill="auto"/>
            <w:noWrap/>
            <w:vAlign w:val="center"/>
          </w:tcPr>
          <w:p w14:paraId="792A721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75</w:t>
            </w:r>
          </w:p>
        </w:tc>
        <w:tc>
          <w:tcPr>
            <w:tcW w:w="1276" w:type="dxa"/>
            <w:vMerge w:val="continue"/>
            <w:shd w:val="clear" w:color="auto" w:fill="auto"/>
            <w:vAlign w:val="center"/>
          </w:tcPr>
          <w:p w14:paraId="26F3BD62">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0913B36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玉溪京东云互联网+新经济项目</w:t>
            </w:r>
          </w:p>
        </w:tc>
        <w:tc>
          <w:tcPr>
            <w:tcW w:w="1701" w:type="dxa"/>
            <w:shd w:val="clear" w:color="auto" w:fill="auto"/>
            <w:vAlign w:val="center"/>
          </w:tcPr>
          <w:p w14:paraId="5B83B77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京东云</w:t>
            </w:r>
          </w:p>
        </w:tc>
        <w:tc>
          <w:tcPr>
            <w:tcW w:w="6656" w:type="dxa"/>
            <w:shd w:val="clear" w:color="auto" w:fill="auto"/>
            <w:vAlign w:val="center"/>
          </w:tcPr>
          <w:p w14:paraId="6F9A10DA">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计划投资2.5亿元。4个1建设目标（1个绿色食品大数据中心、1个绿色食品交易公共服务平台、1个品牌创新体系、1个新型智慧城市建设体系），区块链金融平台建设、线上直播售货、电商人才培养、溯源体系建设</w:t>
            </w:r>
          </w:p>
        </w:tc>
        <w:tc>
          <w:tcPr>
            <w:tcW w:w="1418" w:type="dxa"/>
            <w:shd w:val="clear" w:color="auto" w:fill="auto"/>
            <w:vAlign w:val="center"/>
          </w:tcPr>
          <w:p w14:paraId="138CA6B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2021-2023</w:t>
            </w:r>
          </w:p>
        </w:tc>
      </w:tr>
      <w:tr w14:paraId="1175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709" w:type="dxa"/>
            <w:shd w:val="clear" w:color="auto" w:fill="auto"/>
            <w:noWrap/>
            <w:vAlign w:val="center"/>
          </w:tcPr>
          <w:p w14:paraId="2C843B6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76</w:t>
            </w:r>
          </w:p>
        </w:tc>
        <w:tc>
          <w:tcPr>
            <w:tcW w:w="1276" w:type="dxa"/>
            <w:vMerge w:val="continue"/>
            <w:shd w:val="clear" w:color="auto" w:fill="auto"/>
            <w:vAlign w:val="center"/>
          </w:tcPr>
          <w:p w14:paraId="5AD5CDB4">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6F66047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益配物流供应链数字化管理平台搭建项目</w:t>
            </w:r>
          </w:p>
        </w:tc>
        <w:tc>
          <w:tcPr>
            <w:tcW w:w="1701" w:type="dxa"/>
            <w:shd w:val="clear" w:color="auto" w:fill="auto"/>
            <w:vAlign w:val="center"/>
          </w:tcPr>
          <w:p w14:paraId="0AB5BD2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020496A1">
            <w:pPr>
              <w:widowControl/>
              <w:adjustRightInd w:val="0"/>
              <w:snapToGrid w:val="0"/>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1.1亿元。项目采用通力集团旗下通力科技的益配物流供应链数字化管理平台，开展通力集团基于工业互联网战略的物流配送信息化平台建设，以业务需求为导向，构建供应链数字化管理平台、运输智能调度核心算法库、物联智能配送监控系统、数据智能配送监控系统，智慧云仓系统、信息智能化档案、人力综合评价系统、数据智能统计分析、新一代可视化综合展示。</w:t>
            </w:r>
          </w:p>
        </w:tc>
        <w:tc>
          <w:tcPr>
            <w:tcW w:w="1418" w:type="dxa"/>
            <w:shd w:val="clear" w:color="auto" w:fill="auto"/>
            <w:vAlign w:val="center"/>
          </w:tcPr>
          <w:p w14:paraId="5FEE751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5650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09" w:type="dxa"/>
            <w:shd w:val="clear" w:color="auto" w:fill="auto"/>
            <w:noWrap/>
            <w:vAlign w:val="center"/>
          </w:tcPr>
          <w:p w14:paraId="5C993CB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77</w:t>
            </w:r>
          </w:p>
        </w:tc>
        <w:tc>
          <w:tcPr>
            <w:tcW w:w="1276" w:type="dxa"/>
            <w:vMerge w:val="continue"/>
            <w:shd w:val="clear" w:color="auto" w:fill="auto"/>
            <w:vAlign w:val="center"/>
          </w:tcPr>
          <w:p w14:paraId="3FF9297F">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1794308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小马国炬智慧供应链产业园项目</w:t>
            </w:r>
          </w:p>
        </w:tc>
        <w:tc>
          <w:tcPr>
            <w:tcW w:w="1701" w:type="dxa"/>
            <w:shd w:val="clear" w:color="auto" w:fill="auto"/>
            <w:vAlign w:val="center"/>
          </w:tcPr>
          <w:p w14:paraId="5960FC4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玉溪交运有限公司</w:t>
            </w:r>
          </w:p>
        </w:tc>
        <w:tc>
          <w:tcPr>
            <w:tcW w:w="6656" w:type="dxa"/>
            <w:shd w:val="clear" w:color="auto" w:fill="auto"/>
            <w:vAlign w:val="center"/>
          </w:tcPr>
          <w:p w14:paraId="777390BA">
            <w:pPr>
              <w:widowControl/>
              <w:adjustRightInd w:val="0"/>
              <w:snapToGrid w:val="0"/>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计划投资6亿元。拟用地面积250亩，总建筑面积20万</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，主要建设总部大楼，展示中心、科研中心、半挂车生产线、仓库、宿舍及配套辅助设施。</w:t>
            </w:r>
          </w:p>
        </w:tc>
        <w:tc>
          <w:tcPr>
            <w:tcW w:w="1418" w:type="dxa"/>
            <w:shd w:val="clear" w:color="auto" w:fill="auto"/>
            <w:vAlign w:val="center"/>
          </w:tcPr>
          <w:p w14:paraId="6660439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2022—2025</w:t>
            </w:r>
          </w:p>
        </w:tc>
      </w:tr>
      <w:tr w14:paraId="2E5C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9" w:type="dxa"/>
            <w:vMerge w:val="restart"/>
            <w:shd w:val="clear" w:color="auto" w:fill="auto"/>
            <w:noWrap/>
            <w:vAlign w:val="center"/>
          </w:tcPr>
          <w:p w14:paraId="55FCA4A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78</w:t>
            </w:r>
          </w:p>
        </w:tc>
        <w:tc>
          <w:tcPr>
            <w:tcW w:w="1276" w:type="dxa"/>
            <w:vMerge w:val="restart"/>
            <w:shd w:val="clear" w:color="auto" w:fill="auto"/>
            <w:vAlign w:val="center"/>
          </w:tcPr>
          <w:p w14:paraId="27290D5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双创</w:t>
            </w:r>
          </w:p>
        </w:tc>
        <w:tc>
          <w:tcPr>
            <w:tcW w:w="2127" w:type="dxa"/>
            <w:vMerge w:val="restart"/>
            <w:shd w:val="clear" w:color="auto" w:fill="auto"/>
            <w:vAlign w:val="center"/>
          </w:tcPr>
          <w:p w14:paraId="280E7D8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数控机床产业技术研究院</w:t>
            </w:r>
          </w:p>
        </w:tc>
        <w:tc>
          <w:tcPr>
            <w:tcW w:w="1701" w:type="dxa"/>
            <w:vMerge w:val="restart"/>
            <w:shd w:val="clear" w:color="auto" w:fill="auto"/>
            <w:vAlign w:val="center"/>
          </w:tcPr>
          <w:p w14:paraId="7644414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云南省机械研究院</w:t>
            </w:r>
          </w:p>
        </w:tc>
        <w:tc>
          <w:tcPr>
            <w:tcW w:w="6656" w:type="dxa"/>
            <w:vMerge w:val="restart"/>
            <w:shd w:val="clear" w:color="auto" w:fill="auto"/>
            <w:vAlign w:val="center"/>
          </w:tcPr>
          <w:p w14:paraId="06554340">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计划投资5000万元。建设数控机床技术创新中心、公共服务平台、孵化中心、中试基地、实训基地等</w:t>
            </w:r>
          </w:p>
        </w:tc>
        <w:tc>
          <w:tcPr>
            <w:tcW w:w="1418" w:type="dxa"/>
            <w:vMerge w:val="restart"/>
            <w:shd w:val="clear" w:color="auto" w:fill="auto"/>
            <w:vAlign w:val="center"/>
          </w:tcPr>
          <w:p w14:paraId="13C3DE4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2021-2023</w:t>
            </w:r>
          </w:p>
        </w:tc>
      </w:tr>
      <w:tr w14:paraId="0B96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9" w:type="dxa"/>
            <w:vMerge w:val="continue"/>
            <w:vAlign w:val="center"/>
          </w:tcPr>
          <w:p w14:paraId="157DED7E">
            <w:pPr>
              <w:widowControl/>
              <w:jc w:val="left"/>
              <w:rPr>
                <w:rFonts w:hint="default" w:ascii="Times New Roman" w:hAnsi="Times New Roman" w:eastAsia="仿宋_GB2312" w:cs="Times New Roman"/>
                <w:kern w:val="0"/>
                <w:sz w:val="24"/>
                <w:szCs w:val="24"/>
              </w:rPr>
            </w:pPr>
          </w:p>
        </w:tc>
        <w:tc>
          <w:tcPr>
            <w:tcW w:w="1276" w:type="dxa"/>
            <w:vMerge w:val="continue"/>
            <w:vAlign w:val="center"/>
          </w:tcPr>
          <w:p w14:paraId="64C85375">
            <w:pPr>
              <w:widowControl/>
              <w:jc w:val="left"/>
              <w:rPr>
                <w:rFonts w:hint="default" w:ascii="Times New Roman" w:hAnsi="Times New Roman" w:eastAsia="仿宋_GB2312" w:cs="Times New Roman"/>
                <w:kern w:val="0"/>
                <w:sz w:val="24"/>
                <w:szCs w:val="24"/>
              </w:rPr>
            </w:pPr>
          </w:p>
        </w:tc>
        <w:tc>
          <w:tcPr>
            <w:tcW w:w="2127" w:type="dxa"/>
            <w:vMerge w:val="continue"/>
            <w:vAlign w:val="center"/>
          </w:tcPr>
          <w:p w14:paraId="72BBCC43">
            <w:pPr>
              <w:widowControl/>
              <w:jc w:val="center"/>
              <w:rPr>
                <w:rFonts w:hint="default" w:ascii="Times New Roman" w:hAnsi="Times New Roman" w:eastAsia="仿宋_GB2312" w:cs="Times New Roman"/>
                <w:kern w:val="0"/>
                <w:sz w:val="24"/>
                <w:szCs w:val="24"/>
              </w:rPr>
            </w:pPr>
          </w:p>
        </w:tc>
        <w:tc>
          <w:tcPr>
            <w:tcW w:w="1701" w:type="dxa"/>
            <w:vMerge w:val="continue"/>
            <w:vAlign w:val="center"/>
          </w:tcPr>
          <w:p w14:paraId="3FB7AA24">
            <w:pPr>
              <w:widowControl/>
              <w:jc w:val="center"/>
              <w:rPr>
                <w:rFonts w:hint="default" w:ascii="Times New Roman" w:hAnsi="Times New Roman" w:eastAsia="仿宋_GB2312" w:cs="Times New Roman"/>
                <w:kern w:val="0"/>
                <w:sz w:val="24"/>
                <w:szCs w:val="24"/>
              </w:rPr>
            </w:pPr>
          </w:p>
        </w:tc>
        <w:tc>
          <w:tcPr>
            <w:tcW w:w="6656" w:type="dxa"/>
            <w:vMerge w:val="continue"/>
            <w:vAlign w:val="center"/>
          </w:tcPr>
          <w:p w14:paraId="62885FFC">
            <w:pPr>
              <w:widowControl/>
              <w:jc w:val="left"/>
              <w:rPr>
                <w:rFonts w:hint="default" w:ascii="Times New Roman" w:hAnsi="Times New Roman" w:eastAsia="仿宋_GB2312" w:cs="Times New Roman"/>
                <w:kern w:val="0"/>
                <w:sz w:val="24"/>
                <w:szCs w:val="24"/>
              </w:rPr>
            </w:pPr>
          </w:p>
        </w:tc>
        <w:tc>
          <w:tcPr>
            <w:tcW w:w="1418" w:type="dxa"/>
            <w:vMerge w:val="continue"/>
            <w:vAlign w:val="center"/>
          </w:tcPr>
          <w:p w14:paraId="45B2C499">
            <w:pPr>
              <w:widowControl/>
              <w:jc w:val="left"/>
              <w:rPr>
                <w:rFonts w:hint="default" w:ascii="Times New Roman" w:hAnsi="Times New Roman" w:eastAsia="仿宋_GB2312" w:cs="Times New Roman"/>
                <w:kern w:val="0"/>
                <w:sz w:val="24"/>
                <w:szCs w:val="24"/>
              </w:rPr>
            </w:pPr>
          </w:p>
        </w:tc>
      </w:tr>
      <w:tr w14:paraId="4078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vAlign w:val="center"/>
          </w:tcPr>
          <w:p w14:paraId="209C2EA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79</w:t>
            </w:r>
          </w:p>
        </w:tc>
        <w:tc>
          <w:tcPr>
            <w:tcW w:w="1276" w:type="dxa"/>
            <w:vMerge w:val="continue"/>
            <w:vAlign w:val="center"/>
          </w:tcPr>
          <w:p w14:paraId="0513C615">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38D2F77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生物医药产业技术研究院</w:t>
            </w:r>
          </w:p>
        </w:tc>
        <w:tc>
          <w:tcPr>
            <w:tcW w:w="1701" w:type="dxa"/>
            <w:shd w:val="clear" w:color="auto" w:fill="auto"/>
            <w:vAlign w:val="center"/>
          </w:tcPr>
          <w:p w14:paraId="472DE67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2A6162D9">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计划投资5000万元。开展技术研究与开发、成果转让与评估、科技咨询与服务、培训与交流等业务</w:t>
            </w:r>
          </w:p>
        </w:tc>
        <w:tc>
          <w:tcPr>
            <w:tcW w:w="1418" w:type="dxa"/>
            <w:shd w:val="clear" w:color="auto" w:fill="auto"/>
            <w:vAlign w:val="center"/>
          </w:tcPr>
          <w:p w14:paraId="329D0AD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2021-2023</w:t>
            </w:r>
          </w:p>
        </w:tc>
      </w:tr>
      <w:tr w14:paraId="4A2A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09" w:type="dxa"/>
            <w:shd w:val="clear" w:color="auto" w:fill="auto"/>
            <w:vAlign w:val="center"/>
          </w:tcPr>
          <w:p w14:paraId="7AF28FA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80</w:t>
            </w:r>
          </w:p>
        </w:tc>
        <w:tc>
          <w:tcPr>
            <w:tcW w:w="1276" w:type="dxa"/>
            <w:vMerge w:val="continue"/>
            <w:vAlign w:val="center"/>
          </w:tcPr>
          <w:p w14:paraId="389F51ED">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04298BF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新能源产业技术研究院</w:t>
            </w:r>
          </w:p>
        </w:tc>
        <w:tc>
          <w:tcPr>
            <w:tcW w:w="1701" w:type="dxa"/>
            <w:shd w:val="clear" w:color="auto" w:fill="auto"/>
            <w:vAlign w:val="center"/>
          </w:tcPr>
          <w:p w14:paraId="79174CC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云南省科学技术院、天津大学等</w:t>
            </w:r>
          </w:p>
        </w:tc>
        <w:tc>
          <w:tcPr>
            <w:tcW w:w="6656" w:type="dxa"/>
            <w:shd w:val="clear" w:color="auto" w:fill="auto"/>
            <w:vAlign w:val="center"/>
          </w:tcPr>
          <w:p w14:paraId="5F8FFA08">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计划投资5000万元。建设新能源电池及材料研发、检测及工程化产业技术创新平台等</w:t>
            </w:r>
          </w:p>
        </w:tc>
        <w:tc>
          <w:tcPr>
            <w:tcW w:w="1418" w:type="dxa"/>
            <w:shd w:val="clear" w:color="auto" w:fill="auto"/>
            <w:vAlign w:val="center"/>
          </w:tcPr>
          <w:p w14:paraId="3967225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2021-2023</w:t>
            </w:r>
          </w:p>
        </w:tc>
      </w:tr>
      <w:tr w14:paraId="0E77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09" w:type="dxa"/>
            <w:shd w:val="clear" w:color="auto" w:fill="auto"/>
            <w:vAlign w:val="center"/>
          </w:tcPr>
          <w:p w14:paraId="1AA8484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81</w:t>
            </w:r>
          </w:p>
        </w:tc>
        <w:tc>
          <w:tcPr>
            <w:tcW w:w="1276" w:type="dxa"/>
            <w:vMerge w:val="continue"/>
            <w:vAlign w:val="center"/>
          </w:tcPr>
          <w:p w14:paraId="75A5AD83">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60ED7B0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玉溪高新技术孵化中心</w:t>
            </w:r>
          </w:p>
        </w:tc>
        <w:tc>
          <w:tcPr>
            <w:tcW w:w="1701" w:type="dxa"/>
            <w:shd w:val="clear" w:color="auto" w:fill="auto"/>
            <w:vAlign w:val="center"/>
          </w:tcPr>
          <w:p w14:paraId="1397FC4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4D22DDC6">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6亿元。项目占地36.5亩，规划总建筑面积89605.7平方米，孵化中心主楼规划设计为22层，裙楼设计为4层，附楼设计为1层（高新技术学术交流中心）。功能定位为：研发孵化、楼宇经济（总部经济）、商务办公、科技成果展示、学术交流中心。</w:t>
            </w:r>
          </w:p>
        </w:tc>
        <w:tc>
          <w:tcPr>
            <w:tcW w:w="1418" w:type="dxa"/>
            <w:shd w:val="clear" w:color="auto" w:fill="auto"/>
            <w:vAlign w:val="center"/>
          </w:tcPr>
          <w:p w14:paraId="39A92CC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1814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09" w:type="dxa"/>
            <w:shd w:val="clear" w:color="auto" w:fill="auto"/>
            <w:vAlign w:val="center"/>
          </w:tcPr>
          <w:p w14:paraId="138EAAC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82</w:t>
            </w:r>
          </w:p>
        </w:tc>
        <w:tc>
          <w:tcPr>
            <w:tcW w:w="1276" w:type="dxa"/>
            <w:vMerge w:val="continue"/>
            <w:vAlign w:val="center"/>
          </w:tcPr>
          <w:p w14:paraId="052F1389">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3891598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红塔工业园区科技孵化中心</w:t>
            </w:r>
          </w:p>
        </w:tc>
        <w:tc>
          <w:tcPr>
            <w:tcW w:w="1701" w:type="dxa"/>
            <w:shd w:val="clear" w:color="auto" w:fill="auto"/>
            <w:vAlign w:val="center"/>
          </w:tcPr>
          <w:p w14:paraId="34FA572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24497E5E">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1.4亿元。项目占地约31.83亩，总建筑面积约35560平方米，主要建设内容为科技孵化中心主楼、科技孵化中心副楼、1#综合楼、2#综合楼及附属用房（配电室）、厂房、服务中心、后勤中心、员工宿舍及辅助用房</w:t>
            </w:r>
          </w:p>
        </w:tc>
        <w:tc>
          <w:tcPr>
            <w:tcW w:w="1418" w:type="dxa"/>
            <w:shd w:val="clear" w:color="auto" w:fill="auto"/>
            <w:vAlign w:val="center"/>
          </w:tcPr>
          <w:p w14:paraId="28FD82E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6B2F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709" w:type="dxa"/>
            <w:shd w:val="clear" w:color="auto" w:fill="auto"/>
            <w:vAlign w:val="center"/>
          </w:tcPr>
          <w:p w14:paraId="682DB1B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83</w:t>
            </w:r>
          </w:p>
        </w:tc>
        <w:tc>
          <w:tcPr>
            <w:tcW w:w="1276" w:type="dxa"/>
            <w:vMerge w:val="restart"/>
            <w:shd w:val="clear" w:color="auto" w:fill="auto"/>
            <w:vAlign w:val="center"/>
          </w:tcPr>
          <w:p w14:paraId="74BECA9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开放</w:t>
            </w:r>
          </w:p>
        </w:tc>
        <w:tc>
          <w:tcPr>
            <w:tcW w:w="2127" w:type="dxa"/>
            <w:shd w:val="clear" w:color="auto" w:fill="auto"/>
            <w:vAlign w:val="center"/>
          </w:tcPr>
          <w:p w14:paraId="357F9B2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滇中（玉溪）粮食物流产业园</w:t>
            </w:r>
          </w:p>
        </w:tc>
        <w:tc>
          <w:tcPr>
            <w:tcW w:w="1701" w:type="dxa"/>
            <w:shd w:val="clear" w:color="auto" w:fill="auto"/>
            <w:vAlign w:val="center"/>
          </w:tcPr>
          <w:p w14:paraId="43CDB33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玉溪物流投资有限公司</w:t>
            </w:r>
          </w:p>
        </w:tc>
        <w:tc>
          <w:tcPr>
            <w:tcW w:w="6656" w:type="dxa"/>
            <w:shd w:val="clear" w:color="auto" w:fill="auto"/>
            <w:vAlign w:val="center"/>
          </w:tcPr>
          <w:p w14:paraId="57F26E05">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33亿元。滇中(玉溪)粮食物流产业园属于国际物流港的园中园，项目总占地1347亩，其中新规划1069亩，规划有九大功能区：物流中转区、配送交易区、综合服务区、冷链物流区、粮食加工区、粮食加工发展区、油脂加工区、饲料加工区、特色食品加工区、主食产业加工区。</w:t>
            </w:r>
          </w:p>
        </w:tc>
        <w:tc>
          <w:tcPr>
            <w:tcW w:w="1418" w:type="dxa"/>
            <w:shd w:val="clear" w:color="auto" w:fill="auto"/>
            <w:vAlign w:val="center"/>
          </w:tcPr>
          <w:p w14:paraId="2A77B38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3AEB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shd w:val="clear" w:color="auto" w:fill="auto"/>
            <w:vAlign w:val="center"/>
          </w:tcPr>
          <w:p w14:paraId="59A5DB6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84</w:t>
            </w:r>
          </w:p>
        </w:tc>
        <w:tc>
          <w:tcPr>
            <w:tcW w:w="1276" w:type="dxa"/>
            <w:vMerge w:val="continue"/>
            <w:vAlign w:val="center"/>
          </w:tcPr>
          <w:p w14:paraId="27845209">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5DCC693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滇中（玉溪）粮食物流产业园二期（粮油应急保障配送中心）</w:t>
            </w:r>
          </w:p>
        </w:tc>
        <w:tc>
          <w:tcPr>
            <w:tcW w:w="1701" w:type="dxa"/>
            <w:shd w:val="clear" w:color="auto" w:fill="auto"/>
            <w:vAlign w:val="center"/>
          </w:tcPr>
          <w:p w14:paraId="3C817EF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玉溪物流投资有限公司</w:t>
            </w:r>
          </w:p>
        </w:tc>
        <w:tc>
          <w:tcPr>
            <w:tcW w:w="6656" w:type="dxa"/>
            <w:shd w:val="clear" w:color="auto" w:fill="auto"/>
            <w:vAlign w:val="center"/>
          </w:tcPr>
          <w:p w14:paraId="3165CF7C">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计划投资1.76亿元。一期新建成品粮油应急低温储备库2栋；大米加工车间1栋，配套建设卸粮棚、打包车间、物流中转、质检中心、信息中心等</w:t>
            </w:r>
          </w:p>
        </w:tc>
        <w:tc>
          <w:tcPr>
            <w:tcW w:w="1418" w:type="dxa"/>
            <w:shd w:val="clear" w:color="auto" w:fill="auto"/>
            <w:vAlign w:val="center"/>
          </w:tcPr>
          <w:p w14:paraId="1ED2E0B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049B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shd w:val="clear" w:color="auto" w:fill="auto"/>
            <w:vAlign w:val="center"/>
          </w:tcPr>
          <w:p w14:paraId="5E71AB0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85</w:t>
            </w:r>
          </w:p>
        </w:tc>
        <w:tc>
          <w:tcPr>
            <w:tcW w:w="1276" w:type="dxa"/>
            <w:vMerge w:val="continue"/>
            <w:vAlign w:val="center"/>
          </w:tcPr>
          <w:p w14:paraId="4282FC26">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5400914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滇中农业电商冷链产业园区项目（一期）</w:t>
            </w:r>
          </w:p>
        </w:tc>
        <w:tc>
          <w:tcPr>
            <w:tcW w:w="1701" w:type="dxa"/>
            <w:shd w:val="clear" w:color="auto" w:fill="auto"/>
            <w:vAlign w:val="center"/>
          </w:tcPr>
          <w:p w14:paraId="597D7B2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玉溪交运物流有限公司</w:t>
            </w:r>
          </w:p>
        </w:tc>
        <w:tc>
          <w:tcPr>
            <w:tcW w:w="6656" w:type="dxa"/>
            <w:shd w:val="clear" w:color="auto" w:fill="auto"/>
            <w:vAlign w:val="center"/>
          </w:tcPr>
          <w:p w14:paraId="1ABA861F">
            <w:pPr>
              <w:widowControl/>
              <w:adjustRightInd w:val="0"/>
              <w:snapToGrid w:val="0"/>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计划投资7.4千万元。利用公司现有土地，主要建设2层冷库1栋7289</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、2层冷库及综合楼1栋12669</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，总建筑面积19958</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，容积率0.79。最终形成年加工冷运200000T/a(水果、蔬菜等)规模能力。</w:t>
            </w:r>
          </w:p>
        </w:tc>
        <w:tc>
          <w:tcPr>
            <w:tcW w:w="1418" w:type="dxa"/>
            <w:shd w:val="clear" w:color="auto" w:fill="auto"/>
            <w:vAlign w:val="center"/>
          </w:tcPr>
          <w:p w14:paraId="4CEA81B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5EC6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09" w:type="dxa"/>
            <w:shd w:val="clear" w:color="auto" w:fill="auto"/>
            <w:vAlign w:val="center"/>
          </w:tcPr>
          <w:p w14:paraId="026EF10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86</w:t>
            </w:r>
          </w:p>
        </w:tc>
        <w:tc>
          <w:tcPr>
            <w:tcW w:w="1276" w:type="dxa"/>
            <w:vMerge w:val="continue"/>
            <w:vAlign w:val="center"/>
          </w:tcPr>
          <w:p w14:paraId="432F3D23">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0A42240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中国（西南）玉溪国际物流港</w:t>
            </w:r>
          </w:p>
        </w:tc>
        <w:tc>
          <w:tcPr>
            <w:tcW w:w="1701" w:type="dxa"/>
            <w:shd w:val="clear" w:color="auto" w:fill="auto"/>
            <w:vAlign w:val="center"/>
          </w:tcPr>
          <w:p w14:paraId="3F561FC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2447F7AE">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计划投资53亿元。深入贯彻落实</w:t>
            </w:r>
            <w:r>
              <w:rPr>
                <w:rFonts w:hint="eastAsia" w:ascii="Times New Roman" w:hAnsi="Times New Roman" w:eastAsia="仿宋_GB2312" w:cs="Times New Roman"/>
                <w:kern w:val="0"/>
                <w:sz w:val="24"/>
                <w:szCs w:val="24"/>
                <w:lang w:eastAsia="zh-CN"/>
              </w:rPr>
              <w:t>习近平总书记</w:t>
            </w:r>
            <w:r>
              <w:rPr>
                <w:rFonts w:hint="default" w:ascii="Times New Roman" w:hAnsi="Times New Roman" w:eastAsia="仿宋_GB2312" w:cs="Times New Roman"/>
                <w:kern w:val="0"/>
                <w:sz w:val="24"/>
                <w:szCs w:val="24"/>
              </w:rPr>
              <w:t>考察云南</w:t>
            </w:r>
            <w:r>
              <w:rPr>
                <w:rFonts w:hint="eastAsia" w:ascii="Times New Roman" w:hAnsi="Times New Roman" w:eastAsia="仿宋_GB2312" w:cs="Times New Roman"/>
                <w:kern w:val="0"/>
                <w:sz w:val="24"/>
                <w:szCs w:val="24"/>
                <w:lang w:val="en-US" w:eastAsia="zh-CN"/>
              </w:rPr>
              <w:t>重要</w:t>
            </w:r>
            <w:r>
              <w:rPr>
                <w:rFonts w:hint="default" w:ascii="Times New Roman" w:hAnsi="Times New Roman" w:eastAsia="仿宋_GB2312" w:cs="Times New Roman"/>
                <w:kern w:val="0"/>
                <w:sz w:val="24"/>
                <w:szCs w:val="24"/>
              </w:rPr>
              <w:t>讲话精神，立足研和独特区位优势，建设连接西南、辐射南亚东南亚国际物流港，大力发展通道经济，将物流港建设成为</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面向南亚东南亚商贸物流组织中心、供应链物流创新与应用中心、智慧供应链示范区</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。拟建设公铁联运区、保税物流中心B型、商贸物流区、加工制造区和综合配套区。</w:t>
            </w:r>
          </w:p>
        </w:tc>
        <w:tc>
          <w:tcPr>
            <w:tcW w:w="1418" w:type="dxa"/>
            <w:shd w:val="clear" w:color="auto" w:fill="auto"/>
            <w:vAlign w:val="center"/>
          </w:tcPr>
          <w:p w14:paraId="7FB4DFE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691D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shd w:val="clear" w:color="auto" w:fill="auto"/>
            <w:vAlign w:val="center"/>
          </w:tcPr>
          <w:p w14:paraId="605DDA8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87</w:t>
            </w:r>
          </w:p>
        </w:tc>
        <w:tc>
          <w:tcPr>
            <w:tcW w:w="1276" w:type="dxa"/>
            <w:vMerge w:val="restart"/>
            <w:shd w:val="clear" w:color="auto" w:fill="auto"/>
            <w:vAlign w:val="center"/>
          </w:tcPr>
          <w:p w14:paraId="7E6EA68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产城融合</w:t>
            </w:r>
          </w:p>
        </w:tc>
        <w:tc>
          <w:tcPr>
            <w:tcW w:w="2127" w:type="dxa"/>
            <w:shd w:val="clear" w:color="auto" w:fill="auto"/>
            <w:vAlign w:val="center"/>
          </w:tcPr>
          <w:p w14:paraId="112441F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5G通信网络部署</w:t>
            </w:r>
          </w:p>
        </w:tc>
        <w:tc>
          <w:tcPr>
            <w:tcW w:w="1701" w:type="dxa"/>
            <w:shd w:val="clear" w:color="auto" w:fill="auto"/>
            <w:vAlign w:val="center"/>
          </w:tcPr>
          <w:p w14:paraId="1D6B461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030912B0">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计划投资10亿，在南片区、九龙片区，搭建一批5G基站、铁塔、机房、管道等5G基础设施及配套</w:t>
            </w:r>
          </w:p>
        </w:tc>
        <w:tc>
          <w:tcPr>
            <w:tcW w:w="1418" w:type="dxa"/>
            <w:shd w:val="clear" w:color="auto" w:fill="auto"/>
            <w:vAlign w:val="center"/>
          </w:tcPr>
          <w:p w14:paraId="390EE8C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2021-2023</w:t>
            </w:r>
          </w:p>
        </w:tc>
      </w:tr>
      <w:tr w14:paraId="7633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709" w:type="dxa"/>
            <w:shd w:val="clear" w:color="auto" w:fill="auto"/>
            <w:vAlign w:val="center"/>
          </w:tcPr>
          <w:p w14:paraId="425F0D9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88</w:t>
            </w:r>
          </w:p>
        </w:tc>
        <w:tc>
          <w:tcPr>
            <w:tcW w:w="1276" w:type="dxa"/>
            <w:vMerge w:val="continue"/>
            <w:vAlign w:val="center"/>
          </w:tcPr>
          <w:p w14:paraId="5FB1FED0">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7F40162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玉溪高新智慧城</w:t>
            </w:r>
          </w:p>
        </w:tc>
        <w:tc>
          <w:tcPr>
            <w:tcW w:w="1701" w:type="dxa"/>
            <w:shd w:val="clear" w:color="auto" w:fill="auto"/>
            <w:vAlign w:val="center"/>
          </w:tcPr>
          <w:p w14:paraId="5EB7653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富康城控股</w:t>
            </w:r>
          </w:p>
        </w:tc>
        <w:tc>
          <w:tcPr>
            <w:tcW w:w="6656" w:type="dxa"/>
            <w:shd w:val="clear" w:color="auto" w:fill="auto"/>
            <w:vAlign w:val="center"/>
          </w:tcPr>
          <w:p w14:paraId="7D0F22E3">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计划投资130亿元。优化高新区南片区城市功能布局，提升产业层次，优化产业布局，将南片区规模小的工业企业纳入</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退二进三</w:t>
            </w:r>
            <w:r>
              <w:rPr>
                <w:rFonts w:hint="eastAsia"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范围，大力发展总部经济、研发中心，壮大金融保险、商贸等现代服务业及民生事业发展；建设玉溪师范学院高新附属小学、市民公园、社区卫生医疗机构、幼儿园、国际联号五星级酒店、购物中心、高端商住区、健康养生功能区，实施金水河景观提升改造工程，提升城市现代化水平。</w:t>
            </w:r>
          </w:p>
        </w:tc>
        <w:tc>
          <w:tcPr>
            <w:tcW w:w="1418" w:type="dxa"/>
            <w:shd w:val="clear" w:color="auto" w:fill="auto"/>
            <w:vAlign w:val="center"/>
          </w:tcPr>
          <w:p w14:paraId="2A4F061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2489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shd w:val="clear" w:color="auto" w:fill="auto"/>
            <w:vAlign w:val="center"/>
          </w:tcPr>
          <w:p w14:paraId="565626B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89</w:t>
            </w:r>
          </w:p>
        </w:tc>
        <w:tc>
          <w:tcPr>
            <w:tcW w:w="1276" w:type="dxa"/>
            <w:vMerge w:val="continue"/>
            <w:vAlign w:val="center"/>
          </w:tcPr>
          <w:p w14:paraId="08D5EA38">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72084D8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2.5产业园</w:t>
            </w:r>
          </w:p>
        </w:tc>
        <w:tc>
          <w:tcPr>
            <w:tcW w:w="1701" w:type="dxa"/>
            <w:shd w:val="clear" w:color="auto" w:fill="auto"/>
            <w:vAlign w:val="center"/>
          </w:tcPr>
          <w:p w14:paraId="1B1424D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3FDB9206">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计划投资20亿元。建成新能源产业研究中心、研发中心、咨询保险服务中心、办公区、教育培训中心、商务商业便利中心、生态居住区、专家公寓八大主体功能，配套发展更高业态。</w:t>
            </w:r>
          </w:p>
        </w:tc>
        <w:tc>
          <w:tcPr>
            <w:tcW w:w="1418" w:type="dxa"/>
            <w:shd w:val="clear" w:color="auto" w:fill="auto"/>
            <w:vAlign w:val="center"/>
          </w:tcPr>
          <w:p w14:paraId="1B05701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72CD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09" w:type="dxa"/>
            <w:shd w:val="clear" w:color="auto" w:fill="auto"/>
            <w:vAlign w:val="center"/>
          </w:tcPr>
          <w:p w14:paraId="1E8D623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90</w:t>
            </w:r>
          </w:p>
        </w:tc>
        <w:tc>
          <w:tcPr>
            <w:tcW w:w="1276" w:type="dxa"/>
            <w:vMerge w:val="continue"/>
            <w:vAlign w:val="center"/>
          </w:tcPr>
          <w:p w14:paraId="034E4D23">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031CF91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110KV增量配电改革试点项目</w:t>
            </w:r>
          </w:p>
        </w:tc>
        <w:tc>
          <w:tcPr>
            <w:tcW w:w="1701" w:type="dxa"/>
            <w:shd w:val="clear" w:color="auto" w:fill="auto"/>
            <w:vAlign w:val="center"/>
          </w:tcPr>
          <w:p w14:paraId="1870DB8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1F06B953">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计划投资2亿元。引导社会资本有序投资、降低工业园区企业用电成本、促进配电网建设和提高配电网运营效率，建设110KV变电站及供电配网，配套龙泉片区新能源新材料产业发展。</w:t>
            </w:r>
          </w:p>
        </w:tc>
        <w:tc>
          <w:tcPr>
            <w:tcW w:w="1418" w:type="dxa"/>
            <w:shd w:val="clear" w:color="auto" w:fill="auto"/>
            <w:vAlign w:val="center"/>
          </w:tcPr>
          <w:p w14:paraId="383C410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2021-2023</w:t>
            </w:r>
          </w:p>
        </w:tc>
      </w:tr>
      <w:tr w14:paraId="7B43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09" w:type="dxa"/>
            <w:shd w:val="clear" w:color="auto" w:fill="auto"/>
            <w:vAlign w:val="center"/>
          </w:tcPr>
          <w:p w14:paraId="68C6519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91</w:t>
            </w:r>
          </w:p>
        </w:tc>
        <w:tc>
          <w:tcPr>
            <w:tcW w:w="1276" w:type="dxa"/>
            <w:vMerge w:val="continue"/>
            <w:vAlign w:val="center"/>
          </w:tcPr>
          <w:p w14:paraId="51227E3C">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4D695A1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产业片区联络道路</w:t>
            </w:r>
          </w:p>
        </w:tc>
        <w:tc>
          <w:tcPr>
            <w:tcW w:w="1701" w:type="dxa"/>
            <w:shd w:val="clear" w:color="auto" w:fill="auto"/>
            <w:vAlign w:val="center"/>
          </w:tcPr>
          <w:p w14:paraId="448DC3C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0D50AE8F">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11.5亿元。规划横一路（长996米、宽40米），规划横一路东段（长304米、宽32米），规划横一路西段（长1524米、宽20米），规划纵一路北段（长704米、宽20米），规划纵一路南段（长3827米、宽30米），新河西路（长2969米、宽40米）。</w:t>
            </w:r>
          </w:p>
        </w:tc>
        <w:tc>
          <w:tcPr>
            <w:tcW w:w="1418" w:type="dxa"/>
            <w:shd w:val="clear" w:color="auto" w:fill="auto"/>
            <w:vAlign w:val="center"/>
          </w:tcPr>
          <w:p w14:paraId="59DD509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581E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09" w:type="dxa"/>
            <w:shd w:val="clear" w:color="auto" w:fill="auto"/>
            <w:vAlign w:val="center"/>
          </w:tcPr>
          <w:p w14:paraId="35CE1A0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92</w:t>
            </w:r>
          </w:p>
        </w:tc>
        <w:tc>
          <w:tcPr>
            <w:tcW w:w="1276" w:type="dxa"/>
            <w:vMerge w:val="continue"/>
            <w:vAlign w:val="center"/>
          </w:tcPr>
          <w:p w14:paraId="2C7A7794">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1FC44AE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玉溪研和工业园区产城融合建设项目</w:t>
            </w:r>
          </w:p>
        </w:tc>
        <w:tc>
          <w:tcPr>
            <w:tcW w:w="1701" w:type="dxa"/>
            <w:shd w:val="clear" w:color="auto" w:fill="auto"/>
            <w:vAlign w:val="center"/>
          </w:tcPr>
          <w:p w14:paraId="5FC9A72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504C256E">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50亿元。优化研和片区城市功能布局，优化产业布局，大力发展总部经济、研发中心、商贸等现代服务业，高标准建设高中、幼儿园、医院、商住区、健康养生功能区以及产城融合配套基础设施建设等项目。</w:t>
            </w:r>
          </w:p>
        </w:tc>
        <w:tc>
          <w:tcPr>
            <w:tcW w:w="1418" w:type="dxa"/>
            <w:shd w:val="clear" w:color="auto" w:fill="auto"/>
            <w:vAlign w:val="center"/>
          </w:tcPr>
          <w:p w14:paraId="3EF2B4B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5A77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709" w:type="dxa"/>
            <w:shd w:val="clear" w:color="auto" w:fill="auto"/>
            <w:vAlign w:val="center"/>
          </w:tcPr>
          <w:p w14:paraId="654E6CF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93</w:t>
            </w:r>
          </w:p>
        </w:tc>
        <w:tc>
          <w:tcPr>
            <w:tcW w:w="1276" w:type="dxa"/>
            <w:vMerge w:val="continue"/>
            <w:vAlign w:val="center"/>
          </w:tcPr>
          <w:p w14:paraId="34A31670">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78899D7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红塔工业园区观音山片区创业路（南段）道路工程</w:t>
            </w:r>
          </w:p>
        </w:tc>
        <w:tc>
          <w:tcPr>
            <w:tcW w:w="1701" w:type="dxa"/>
            <w:shd w:val="clear" w:color="auto" w:fill="auto"/>
            <w:vAlign w:val="center"/>
          </w:tcPr>
          <w:p w14:paraId="66E714C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27E9E3B0">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1.28亿元。红塔工业园区观音山片区创业路（南段）道路工程全长1967米、路基宽24米，按市政道路标准建设。建设内容为：道路路基、沥青混凝土路面、给排水工程、综合管网、绿化、交通公交工程、照明工程及附属工程。</w:t>
            </w:r>
          </w:p>
        </w:tc>
        <w:tc>
          <w:tcPr>
            <w:tcW w:w="1418" w:type="dxa"/>
            <w:shd w:val="clear" w:color="auto" w:fill="auto"/>
            <w:vAlign w:val="center"/>
          </w:tcPr>
          <w:p w14:paraId="05B4EE1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w:t>
            </w:r>
          </w:p>
        </w:tc>
      </w:tr>
      <w:tr w14:paraId="40EB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09" w:type="dxa"/>
            <w:shd w:val="clear" w:color="auto" w:fill="auto"/>
            <w:vAlign w:val="center"/>
          </w:tcPr>
          <w:p w14:paraId="3F2C79D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94</w:t>
            </w:r>
          </w:p>
        </w:tc>
        <w:tc>
          <w:tcPr>
            <w:tcW w:w="1276" w:type="dxa"/>
            <w:vMerge w:val="continue"/>
            <w:vAlign w:val="center"/>
          </w:tcPr>
          <w:p w14:paraId="71124A64">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0AA07FC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黑龙潭（土地开发和基础设施建设）</w:t>
            </w:r>
          </w:p>
        </w:tc>
        <w:tc>
          <w:tcPr>
            <w:tcW w:w="1701" w:type="dxa"/>
            <w:shd w:val="clear" w:color="auto" w:fill="auto"/>
            <w:vAlign w:val="center"/>
          </w:tcPr>
          <w:p w14:paraId="0B36D74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01DB9083">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计划投资15亿元。以观音山黑龙潭地块约3000亩地为依托，预留发展空间，跟踪产业发展动态，适时调整发展方向，呈现实现可持续发展特色。</w:t>
            </w:r>
          </w:p>
        </w:tc>
        <w:tc>
          <w:tcPr>
            <w:tcW w:w="1418" w:type="dxa"/>
            <w:shd w:val="clear" w:color="auto" w:fill="auto"/>
            <w:vAlign w:val="center"/>
          </w:tcPr>
          <w:p w14:paraId="1EE054E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2023—2025</w:t>
            </w:r>
          </w:p>
        </w:tc>
      </w:tr>
      <w:tr w14:paraId="118B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709" w:type="dxa"/>
            <w:shd w:val="clear" w:color="auto" w:fill="auto"/>
            <w:vAlign w:val="center"/>
          </w:tcPr>
          <w:p w14:paraId="62F5029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95</w:t>
            </w:r>
          </w:p>
        </w:tc>
        <w:tc>
          <w:tcPr>
            <w:tcW w:w="1276" w:type="dxa"/>
            <w:vMerge w:val="continue"/>
            <w:vAlign w:val="center"/>
          </w:tcPr>
          <w:p w14:paraId="358ECB2B">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48F7046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建筑工业化集成制造基地建设项目</w:t>
            </w:r>
          </w:p>
        </w:tc>
        <w:tc>
          <w:tcPr>
            <w:tcW w:w="1701" w:type="dxa"/>
            <w:shd w:val="clear" w:color="auto" w:fill="auto"/>
            <w:vAlign w:val="center"/>
          </w:tcPr>
          <w:p w14:paraId="6C08866F">
            <w:pPr>
              <w:widowControl/>
              <w:adjustRightInd w:val="0"/>
              <w:snapToGrid w:val="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推介项目</w:t>
            </w:r>
          </w:p>
        </w:tc>
        <w:tc>
          <w:tcPr>
            <w:tcW w:w="6656" w:type="dxa"/>
            <w:shd w:val="clear" w:color="auto" w:fill="auto"/>
            <w:vAlign w:val="center"/>
          </w:tcPr>
          <w:p w14:paraId="459788C0">
            <w:pPr>
              <w:widowControl/>
              <w:adjustRightInd w:val="0"/>
              <w:snapToGrid w:val="0"/>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计划投资6.5亿元。项目用地面积约462亩，主要建设：1.桥梁构配件生产区50906</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 xml:space="preserve">（建筑物面积 15706 </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，构筑物面积35200</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），2.市政工程混凝土预制件生产区28112</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（建筑物面积 13112</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，构筑物面积15000</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），3.装配式建筑PC\PS体系工厂化生产区46960</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（建筑物面积21960</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，构筑物面积25000</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 xml:space="preserve">），4.混凝土拌合站生产集成区块7980 </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 xml:space="preserve">；4. 水泥及砂石料场存放设施区构筑面积16670 </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，5.其他附属配套设施（固废处理、实验室、检测中心等）10000</w:t>
            </w:r>
            <w:r>
              <w:rPr>
                <w:rFonts w:hint="default" w:ascii="Times New Roman" w:hAnsi="Times New Roman" w:eastAsia="Batang" w:cs="Times New Roman"/>
                <w:kern w:val="0"/>
                <w:sz w:val="24"/>
                <w:szCs w:val="24"/>
              </w:rPr>
              <w:t>㎡</w:t>
            </w:r>
            <w:r>
              <w:rPr>
                <w:rFonts w:hint="default" w:ascii="Times New Roman" w:hAnsi="Times New Roman" w:eastAsia="仿宋_GB2312" w:cs="Times New Roman"/>
                <w:kern w:val="0"/>
                <w:sz w:val="24"/>
                <w:szCs w:val="24"/>
              </w:rPr>
              <w:t>。</w:t>
            </w:r>
          </w:p>
        </w:tc>
        <w:tc>
          <w:tcPr>
            <w:tcW w:w="1418" w:type="dxa"/>
            <w:shd w:val="clear" w:color="auto" w:fill="auto"/>
            <w:vAlign w:val="center"/>
          </w:tcPr>
          <w:p w14:paraId="0453863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2021—2025</w:t>
            </w:r>
          </w:p>
        </w:tc>
      </w:tr>
      <w:tr w14:paraId="18F2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09" w:type="dxa"/>
            <w:shd w:val="clear" w:color="auto" w:fill="auto"/>
            <w:vAlign w:val="center"/>
          </w:tcPr>
          <w:p w14:paraId="5AEEC37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96</w:t>
            </w:r>
          </w:p>
        </w:tc>
        <w:tc>
          <w:tcPr>
            <w:tcW w:w="1276" w:type="dxa"/>
            <w:vMerge w:val="continue"/>
            <w:vAlign w:val="center"/>
          </w:tcPr>
          <w:p w14:paraId="71AC52F0">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621343D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玉溪研和工业园区天然气综合利用项目</w:t>
            </w:r>
          </w:p>
        </w:tc>
        <w:tc>
          <w:tcPr>
            <w:tcW w:w="1701" w:type="dxa"/>
            <w:shd w:val="clear" w:color="auto" w:fill="auto"/>
            <w:vAlign w:val="center"/>
          </w:tcPr>
          <w:p w14:paraId="1597531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玉溪能投天然气产业发展有限公司</w:t>
            </w:r>
          </w:p>
        </w:tc>
        <w:tc>
          <w:tcPr>
            <w:tcW w:w="6656" w:type="dxa"/>
            <w:shd w:val="clear" w:color="auto" w:fill="auto"/>
            <w:vAlign w:val="center"/>
          </w:tcPr>
          <w:p w14:paraId="45EA8DDD">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5783万元。本工程新建调压站1座，占地0.9亩，设计规模1.2×104Nm³/h，进站压力为3.0~4.0Mpa，出站压力为0.4Mpa，气源通过调压站计量、调压、加臭后，经中压管网供给研和工业园区用气，中压管网水平长度约18.46km，设计管径有de300、de250、de200、de160，管道材质采用PE100 SDR11规格。年供气量7015.81×104Nm³/a。</w:t>
            </w:r>
          </w:p>
        </w:tc>
        <w:tc>
          <w:tcPr>
            <w:tcW w:w="1418" w:type="dxa"/>
            <w:shd w:val="clear" w:color="auto" w:fill="auto"/>
            <w:vAlign w:val="center"/>
          </w:tcPr>
          <w:p w14:paraId="56576A6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5BCC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709" w:type="dxa"/>
            <w:shd w:val="clear" w:color="auto" w:fill="auto"/>
            <w:vAlign w:val="center"/>
          </w:tcPr>
          <w:p w14:paraId="6F120572">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97</w:t>
            </w:r>
          </w:p>
        </w:tc>
        <w:tc>
          <w:tcPr>
            <w:tcW w:w="1276" w:type="dxa"/>
            <w:vAlign w:val="center"/>
          </w:tcPr>
          <w:p w14:paraId="28D5B37D">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38F2BCE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玉溪研和工业园区装备制造产业标准厂房二期建设项目</w:t>
            </w:r>
          </w:p>
        </w:tc>
        <w:tc>
          <w:tcPr>
            <w:tcW w:w="1701" w:type="dxa"/>
            <w:shd w:val="clear" w:color="auto" w:fill="auto"/>
            <w:vAlign w:val="center"/>
          </w:tcPr>
          <w:p w14:paraId="227100B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玉溪研和土地开发投资有限公司</w:t>
            </w:r>
          </w:p>
        </w:tc>
        <w:tc>
          <w:tcPr>
            <w:tcW w:w="6656" w:type="dxa"/>
            <w:shd w:val="clear" w:color="auto" w:fill="auto"/>
            <w:vAlign w:val="center"/>
          </w:tcPr>
          <w:p w14:paraId="5C5D8BA6">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计划投资3987.77万元。用地25.87亩,新建厂房1幢、值班室1幢、辅房1幢，总占地面积9104.83平方米，其中，厂房建筑面积8976.56平方米，值班室建筑面积27.52平方米，辅房建筑面积100.75平方米。</w:t>
            </w:r>
          </w:p>
        </w:tc>
        <w:tc>
          <w:tcPr>
            <w:tcW w:w="1418" w:type="dxa"/>
            <w:shd w:val="clear" w:color="auto" w:fill="auto"/>
            <w:vAlign w:val="center"/>
          </w:tcPr>
          <w:p w14:paraId="5F35ED6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r w14:paraId="58FE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709" w:type="dxa"/>
            <w:shd w:val="clear" w:color="auto" w:fill="auto"/>
            <w:vAlign w:val="center"/>
          </w:tcPr>
          <w:p w14:paraId="3FE8864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98</w:t>
            </w:r>
          </w:p>
        </w:tc>
        <w:tc>
          <w:tcPr>
            <w:tcW w:w="1276" w:type="dxa"/>
            <w:vAlign w:val="center"/>
          </w:tcPr>
          <w:p w14:paraId="47466F7D">
            <w:pPr>
              <w:widowControl/>
              <w:jc w:val="left"/>
              <w:rPr>
                <w:rFonts w:hint="default" w:ascii="Times New Roman" w:hAnsi="Times New Roman" w:eastAsia="仿宋_GB2312" w:cs="Times New Roman"/>
                <w:kern w:val="0"/>
                <w:sz w:val="24"/>
                <w:szCs w:val="24"/>
              </w:rPr>
            </w:pPr>
          </w:p>
        </w:tc>
        <w:tc>
          <w:tcPr>
            <w:tcW w:w="2127" w:type="dxa"/>
            <w:shd w:val="clear" w:color="auto" w:fill="auto"/>
            <w:vAlign w:val="center"/>
          </w:tcPr>
          <w:p w14:paraId="634B348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玉溪市第二污水处理厂污水再生利用工程</w:t>
            </w:r>
          </w:p>
        </w:tc>
        <w:tc>
          <w:tcPr>
            <w:tcW w:w="1701" w:type="dxa"/>
            <w:shd w:val="clear" w:color="auto" w:fill="auto"/>
            <w:vAlign w:val="center"/>
          </w:tcPr>
          <w:p w14:paraId="7FA308A0">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玉溪绿水环保有限公司</w:t>
            </w:r>
          </w:p>
        </w:tc>
        <w:tc>
          <w:tcPr>
            <w:tcW w:w="6656" w:type="dxa"/>
            <w:shd w:val="clear" w:color="auto" w:fill="auto"/>
            <w:vAlign w:val="center"/>
          </w:tcPr>
          <w:p w14:paraId="50DED420">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计划投资1385.91万元。（一）新建设再生水池及加压泵房各一座:新建加压泵房和水池各一座，配备相应加压设备及自控设备，供水规模按照近期6000立方/天，远期10000立方/天考虑，按照近期规模实施；改造现有加药间，新建二氧化氯或次氯酸钠消毒设备一套，增加供电设施一套。（二）新建中水管网两条:1.大坡头工业片区：新建DN277×8中水管道一条，最大高差约130米，长度约4公里，从厂区一次加压可以实现直接供应中水。2.数控产业园片区：新建DN325×8中水管道一条，最大高差约165米，长度约3公里，从厂区一次加压可以实现直接供应中水。</w:t>
            </w:r>
          </w:p>
        </w:tc>
        <w:tc>
          <w:tcPr>
            <w:tcW w:w="1418" w:type="dxa"/>
            <w:shd w:val="clear" w:color="auto" w:fill="auto"/>
            <w:vAlign w:val="center"/>
          </w:tcPr>
          <w:p w14:paraId="24765D3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2021-2022</w:t>
            </w:r>
          </w:p>
        </w:tc>
      </w:tr>
    </w:tbl>
    <w:p w14:paraId="1D16CCDC">
      <w:pPr>
        <w:rPr>
          <w:rFonts w:hint="default" w:ascii="Times New Roman" w:hAnsi="Times New Roman" w:eastAsia="仿宋_GB2312" w:cs="Times New Roman"/>
          <w:b/>
          <w:sz w:val="28"/>
        </w:rPr>
      </w:pPr>
    </w:p>
    <w:p w14:paraId="08D0B1E5">
      <w:pPr>
        <w:pStyle w:val="12"/>
        <w:jc w:val="left"/>
        <w:rPr>
          <w:rFonts w:hint="default" w:ascii="Times New Roman" w:hAnsi="Times New Roman" w:cs="Times New Roman"/>
          <w:b w:val="0"/>
        </w:rPr>
      </w:pPr>
      <w:r>
        <w:rPr>
          <w:rFonts w:hint="default" w:ascii="Times New Roman" w:hAnsi="Times New Roman" w:cs="Times New Roman"/>
          <w:b w:val="0"/>
        </w:rPr>
        <w:br w:type="page"/>
      </w:r>
    </w:p>
    <w:p w14:paraId="1D61193F">
      <w:pPr>
        <w:pStyle w:val="12"/>
        <w:jc w:val="left"/>
        <w:rPr>
          <w:rFonts w:hint="default" w:ascii="Times New Roman" w:hAnsi="Times New Roman" w:cs="Times New Roman"/>
          <w:b w:val="0"/>
        </w:rPr>
        <w:sectPr>
          <w:pgSz w:w="16838" w:h="11906" w:orient="landscape"/>
          <w:pgMar w:top="1800" w:right="1440" w:bottom="1800" w:left="1440" w:header="851" w:footer="992" w:gutter="0"/>
          <w:cols w:space="425" w:num="1"/>
          <w:docGrid w:type="lines" w:linePitch="312" w:charSpace="0"/>
        </w:sectPr>
      </w:pPr>
    </w:p>
    <w:p w14:paraId="50D28D20">
      <w:pPr>
        <w:pStyle w:val="12"/>
        <w:jc w:val="left"/>
        <w:rPr>
          <w:rFonts w:hint="default" w:ascii="Times New Roman" w:hAnsi="Times New Roman" w:cs="Times New Roman"/>
          <w:b w:val="0"/>
        </w:rPr>
      </w:pPr>
      <w:bookmarkStart w:id="67" w:name="_Toc67935941"/>
      <w:r>
        <w:rPr>
          <w:rFonts w:hint="default" w:ascii="Times New Roman" w:hAnsi="Times New Roman" w:cs="Times New Roman"/>
          <w:b w:val="0"/>
        </w:rPr>
        <w:t>附录2：主导产业重点企业梳理</w:t>
      </w:r>
      <w:bookmarkEnd w:id="67"/>
    </w:p>
    <w:p w14:paraId="00F06F34">
      <w:pPr>
        <w:spacing w:before="156" w:beforeLines="50"/>
        <w:jc w:val="center"/>
        <w:rPr>
          <w:rFonts w:hint="default" w:ascii="Times New Roman" w:hAnsi="Times New Roman" w:eastAsia="仿宋_GB2312" w:cs="Times New Roman"/>
          <w:b/>
          <w:sz w:val="28"/>
        </w:rPr>
      </w:pPr>
      <w:r>
        <w:rPr>
          <w:rFonts w:hint="default" w:ascii="Times New Roman" w:hAnsi="Times New Roman" w:eastAsia="仿宋_GB2312" w:cs="Times New Roman"/>
          <w:b/>
          <w:sz w:val="28"/>
        </w:rPr>
        <w:t>表5  主导产业重点企业梳理</w:t>
      </w:r>
    </w:p>
    <w:tbl>
      <w:tblPr>
        <w:tblStyle w:val="1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410"/>
        <w:gridCol w:w="1276"/>
        <w:gridCol w:w="4111"/>
      </w:tblGrid>
      <w:tr w14:paraId="7039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1271" w:type="dxa"/>
            <w:vMerge w:val="restart"/>
            <w:vAlign w:val="center"/>
          </w:tcPr>
          <w:p w14:paraId="25CBCEA6">
            <w:pPr>
              <w:adjustRightInd w:val="0"/>
              <w:snapToGrid w:val="0"/>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产业类别</w:t>
            </w:r>
          </w:p>
        </w:tc>
        <w:tc>
          <w:tcPr>
            <w:tcW w:w="2410" w:type="dxa"/>
            <w:vMerge w:val="restart"/>
            <w:vAlign w:val="center"/>
          </w:tcPr>
          <w:p w14:paraId="47F594C9">
            <w:pPr>
              <w:adjustRightInd w:val="0"/>
              <w:snapToGrid w:val="0"/>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具体领域</w:t>
            </w:r>
          </w:p>
        </w:tc>
        <w:tc>
          <w:tcPr>
            <w:tcW w:w="1276" w:type="dxa"/>
            <w:vMerge w:val="restart"/>
            <w:vAlign w:val="center"/>
          </w:tcPr>
          <w:p w14:paraId="04542E6D">
            <w:pPr>
              <w:adjustRightInd w:val="0"/>
              <w:snapToGrid w:val="0"/>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营业收入（亿元）</w:t>
            </w:r>
          </w:p>
        </w:tc>
        <w:tc>
          <w:tcPr>
            <w:tcW w:w="4111" w:type="dxa"/>
            <w:vMerge w:val="restart"/>
            <w:vAlign w:val="center"/>
          </w:tcPr>
          <w:p w14:paraId="0AEAF841">
            <w:pPr>
              <w:adjustRightInd w:val="0"/>
              <w:snapToGrid w:val="0"/>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重点企业</w:t>
            </w:r>
          </w:p>
        </w:tc>
      </w:tr>
      <w:tr w14:paraId="64C5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1271" w:type="dxa"/>
            <w:vMerge w:val="continue"/>
            <w:vAlign w:val="center"/>
          </w:tcPr>
          <w:p w14:paraId="2546A925">
            <w:pPr>
              <w:adjustRightInd w:val="0"/>
              <w:snapToGrid w:val="0"/>
              <w:jc w:val="center"/>
              <w:rPr>
                <w:rFonts w:hint="default" w:ascii="Times New Roman" w:hAnsi="Times New Roman" w:eastAsia="仿宋_GB2312" w:cs="Times New Roman"/>
                <w:b/>
                <w:sz w:val="24"/>
                <w:szCs w:val="24"/>
              </w:rPr>
            </w:pPr>
          </w:p>
        </w:tc>
        <w:tc>
          <w:tcPr>
            <w:tcW w:w="2410" w:type="dxa"/>
            <w:vMerge w:val="continue"/>
            <w:vAlign w:val="center"/>
          </w:tcPr>
          <w:p w14:paraId="6E3B6913">
            <w:pPr>
              <w:adjustRightInd w:val="0"/>
              <w:snapToGrid w:val="0"/>
              <w:jc w:val="center"/>
              <w:rPr>
                <w:rFonts w:hint="default" w:ascii="Times New Roman" w:hAnsi="Times New Roman" w:eastAsia="仿宋_GB2312" w:cs="Times New Roman"/>
                <w:b/>
                <w:sz w:val="24"/>
                <w:szCs w:val="24"/>
              </w:rPr>
            </w:pPr>
          </w:p>
        </w:tc>
        <w:tc>
          <w:tcPr>
            <w:tcW w:w="1276" w:type="dxa"/>
            <w:vMerge w:val="continue"/>
            <w:vAlign w:val="center"/>
          </w:tcPr>
          <w:p w14:paraId="2FF3DBAF">
            <w:pPr>
              <w:adjustRightInd w:val="0"/>
              <w:snapToGrid w:val="0"/>
              <w:jc w:val="center"/>
              <w:rPr>
                <w:rFonts w:hint="default" w:ascii="Times New Roman" w:hAnsi="Times New Roman" w:eastAsia="仿宋_GB2312" w:cs="Times New Roman"/>
                <w:b/>
                <w:sz w:val="24"/>
                <w:szCs w:val="24"/>
              </w:rPr>
            </w:pPr>
          </w:p>
        </w:tc>
        <w:tc>
          <w:tcPr>
            <w:tcW w:w="4111" w:type="dxa"/>
            <w:vMerge w:val="continue"/>
            <w:vAlign w:val="center"/>
          </w:tcPr>
          <w:p w14:paraId="2D4FD199">
            <w:pPr>
              <w:adjustRightInd w:val="0"/>
              <w:snapToGrid w:val="0"/>
              <w:jc w:val="center"/>
              <w:rPr>
                <w:rFonts w:hint="default" w:ascii="Times New Roman" w:hAnsi="Times New Roman" w:eastAsia="仿宋_GB2312" w:cs="Times New Roman"/>
                <w:b/>
                <w:sz w:val="24"/>
                <w:szCs w:val="24"/>
              </w:rPr>
            </w:pPr>
          </w:p>
        </w:tc>
      </w:tr>
      <w:tr w14:paraId="71AD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gridSpan w:val="2"/>
            <w:vMerge w:val="restart"/>
            <w:vAlign w:val="center"/>
          </w:tcPr>
          <w:p w14:paraId="71045290">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卷烟及配套</w:t>
            </w:r>
          </w:p>
        </w:tc>
        <w:tc>
          <w:tcPr>
            <w:tcW w:w="1276" w:type="dxa"/>
            <w:vMerge w:val="restart"/>
            <w:vAlign w:val="center"/>
          </w:tcPr>
          <w:p w14:paraId="04FA0A7F">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630</w:t>
            </w:r>
          </w:p>
        </w:tc>
        <w:tc>
          <w:tcPr>
            <w:tcW w:w="4111" w:type="dxa"/>
            <w:vAlign w:val="center"/>
          </w:tcPr>
          <w:p w14:paraId="23DD6BA3">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自强集团</w:t>
            </w:r>
          </w:p>
        </w:tc>
      </w:tr>
      <w:tr w14:paraId="71B3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1" w:type="dxa"/>
            <w:gridSpan w:val="2"/>
            <w:vMerge w:val="continue"/>
            <w:vAlign w:val="center"/>
          </w:tcPr>
          <w:p w14:paraId="045F693E">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6868C426">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187498FD">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恩捷股份</w:t>
            </w:r>
          </w:p>
        </w:tc>
      </w:tr>
      <w:tr w14:paraId="531A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14:paraId="48769859">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先进装备制造</w:t>
            </w:r>
          </w:p>
        </w:tc>
        <w:tc>
          <w:tcPr>
            <w:tcW w:w="2410" w:type="dxa"/>
            <w:vMerge w:val="restart"/>
            <w:vAlign w:val="center"/>
          </w:tcPr>
          <w:p w14:paraId="71565043">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高端数控机床</w:t>
            </w:r>
          </w:p>
        </w:tc>
        <w:tc>
          <w:tcPr>
            <w:tcW w:w="1276" w:type="dxa"/>
            <w:vMerge w:val="restart"/>
            <w:vAlign w:val="center"/>
          </w:tcPr>
          <w:p w14:paraId="73FD5ADA">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500</w:t>
            </w:r>
          </w:p>
        </w:tc>
        <w:tc>
          <w:tcPr>
            <w:tcW w:w="4111" w:type="dxa"/>
            <w:vAlign w:val="center"/>
          </w:tcPr>
          <w:p w14:paraId="6A0F1BCD">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云南正成工精密机械有限公司</w:t>
            </w:r>
          </w:p>
        </w:tc>
      </w:tr>
      <w:tr w14:paraId="2497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740D8D88">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6F2562D4">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0347AA9C">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7714D1A0">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云南华溪数控装备有限公司</w:t>
            </w:r>
          </w:p>
        </w:tc>
      </w:tr>
      <w:tr w14:paraId="2687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34D85952">
            <w:pPr>
              <w:adjustRightInd w:val="0"/>
              <w:snapToGrid w:val="0"/>
              <w:jc w:val="center"/>
              <w:rPr>
                <w:rFonts w:hint="default" w:ascii="Times New Roman" w:hAnsi="Times New Roman" w:eastAsia="仿宋_GB2312" w:cs="Times New Roman"/>
                <w:sz w:val="24"/>
                <w:szCs w:val="24"/>
              </w:rPr>
            </w:pPr>
          </w:p>
        </w:tc>
        <w:tc>
          <w:tcPr>
            <w:tcW w:w="2410" w:type="dxa"/>
            <w:vMerge w:val="restart"/>
            <w:vAlign w:val="center"/>
          </w:tcPr>
          <w:p w14:paraId="7C677791">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装备制造</w:t>
            </w:r>
          </w:p>
        </w:tc>
        <w:tc>
          <w:tcPr>
            <w:tcW w:w="1276" w:type="dxa"/>
            <w:vMerge w:val="continue"/>
            <w:vAlign w:val="center"/>
          </w:tcPr>
          <w:p w14:paraId="4335581F">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27D60056">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云南玉溪中汇电力设备有限公司</w:t>
            </w:r>
          </w:p>
        </w:tc>
      </w:tr>
      <w:tr w14:paraId="262D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3C52CDB7">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522E53AE">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0234B19F">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69D4A5EB">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云南联塑科技发展有限公司</w:t>
            </w:r>
          </w:p>
        </w:tc>
      </w:tr>
      <w:tr w14:paraId="0E0A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01B1F5AB">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1049D2B6">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3B6A8B0C">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37630C5A">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江川新天力现代农业装备制造有限公司</w:t>
            </w:r>
          </w:p>
        </w:tc>
      </w:tr>
      <w:tr w14:paraId="01B3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4C9A4210">
            <w:pPr>
              <w:adjustRightInd w:val="0"/>
              <w:snapToGrid w:val="0"/>
              <w:jc w:val="center"/>
              <w:rPr>
                <w:rFonts w:hint="default" w:ascii="Times New Roman" w:hAnsi="Times New Roman" w:eastAsia="仿宋_GB2312" w:cs="Times New Roman"/>
                <w:sz w:val="24"/>
                <w:szCs w:val="24"/>
              </w:rPr>
            </w:pPr>
          </w:p>
        </w:tc>
        <w:tc>
          <w:tcPr>
            <w:tcW w:w="2410" w:type="dxa"/>
            <w:vMerge w:val="restart"/>
            <w:vAlign w:val="center"/>
          </w:tcPr>
          <w:p w14:paraId="31F02946">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智能终端</w:t>
            </w:r>
          </w:p>
        </w:tc>
        <w:tc>
          <w:tcPr>
            <w:tcW w:w="1276" w:type="dxa"/>
            <w:vMerge w:val="continue"/>
            <w:vAlign w:val="center"/>
          </w:tcPr>
          <w:p w14:paraId="5D48E4D8">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0006228F">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玉溪美辰科技发展有限公司</w:t>
            </w:r>
          </w:p>
        </w:tc>
      </w:tr>
      <w:tr w14:paraId="0D25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46379476">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46835562">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4D81CDDD">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3C47F492">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玉溪信德科技有限公司</w:t>
            </w:r>
          </w:p>
        </w:tc>
      </w:tr>
      <w:tr w14:paraId="37EA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4347DADE">
            <w:pPr>
              <w:adjustRightInd w:val="0"/>
              <w:snapToGrid w:val="0"/>
              <w:jc w:val="center"/>
              <w:rPr>
                <w:rFonts w:hint="default" w:ascii="Times New Roman" w:hAnsi="Times New Roman" w:eastAsia="仿宋_GB2312" w:cs="Times New Roman"/>
                <w:sz w:val="24"/>
                <w:szCs w:val="24"/>
              </w:rPr>
            </w:pPr>
          </w:p>
        </w:tc>
        <w:tc>
          <w:tcPr>
            <w:tcW w:w="2410" w:type="dxa"/>
            <w:vMerge w:val="restart"/>
            <w:vAlign w:val="center"/>
          </w:tcPr>
          <w:p w14:paraId="286F0C3E">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钢铁压延及加工</w:t>
            </w:r>
          </w:p>
        </w:tc>
        <w:tc>
          <w:tcPr>
            <w:tcW w:w="1276" w:type="dxa"/>
            <w:vMerge w:val="continue"/>
            <w:vAlign w:val="center"/>
          </w:tcPr>
          <w:p w14:paraId="48FFF171">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4C12330E">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玉溪新兴钢铁有限公司</w:t>
            </w:r>
          </w:p>
        </w:tc>
      </w:tr>
      <w:tr w14:paraId="1FA2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7FB6BF3D">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71E25C91">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1AE677B0">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0C6096CB">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云南玉溪玉昆钢铁集团有限公司</w:t>
            </w:r>
          </w:p>
        </w:tc>
      </w:tr>
      <w:tr w14:paraId="1900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04B28256">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6A34FC92">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1AC564CE">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71C54512">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云南太标精工铸造有限公司</w:t>
            </w:r>
          </w:p>
        </w:tc>
      </w:tr>
      <w:tr w14:paraId="35DF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14:paraId="7909821D">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生物医药及医疗器械</w:t>
            </w:r>
          </w:p>
        </w:tc>
        <w:tc>
          <w:tcPr>
            <w:tcW w:w="2410" w:type="dxa"/>
            <w:vMerge w:val="restart"/>
            <w:vAlign w:val="center"/>
          </w:tcPr>
          <w:p w14:paraId="1B81EF57">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生物制药</w:t>
            </w:r>
          </w:p>
        </w:tc>
        <w:tc>
          <w:tcPr>
            <w:tcW w:w="1276" w:type="dxa"/>
            <w:vMerge w:val="restart"/>
            <w:vAlign w:val="center"/>
          </w:tcPr>
          <w:p w14:paraId="477594AF">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400</w:t>
            </w:r>
          </w:p>
        </w:tc>
        <w:tc>
          <w:tcPr>
            <w:tcW w:w="4111" w:type="dxa"/>
            <w:vAlign w:val="center"/>
          </w:tcPr>
          <w:p w14:paraId="250894AF">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玉溪沃森生物技术有限公司</w:t>
            </w:r>
          </w:p>
        </w:tc>
      </w:tr>
      <w:tr w14:paraId="7391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52688567">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62B526E3">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18E78136">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67C44FAE">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玉溪泽润生物技术有限公司</w:t>
            </w:r>
          </w:p>
        </w:tc>
      </w:tr>
      <w:tr w14:paraId="4AEB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79883FEF">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5FD370DB">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1B30C9DA">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74722AEF">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玉溪嘉和生物技术有限公司</w:t>
            </w:r>
          </w:p>
        </w:tc>
      </w:tr>
      <w:tr w14:paraId="2E94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22AD0191">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23719092">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40EB8F84">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36F89467">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玉溪九洲生物技术有限责任公司</w:t>
            </w:r>
          </w:p>
        </w:tc>
      </w:tr>
      <w:tr w14:paraId="1277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568F22FD">
            <w:pPr>
              <w:adjustRightInd w:val="0"/>
              <w:snapToGrid w:val="0"/>
              <w:jc w:val="center"/>
              <w:rPr>
                <w:rFonts w:hint="default" w:ascii="Times New Roman" w:hAnsi="Times New Roman" w:eastAsia="仿宋_GB2312" w:cs="Times New Roman"/>
                <w:sz w:val="24"/>
                <w:szCs w:val="24"/>
              </w:rPr>
            </w:pPr>
          </w:p>
        </w:tc>
        <w:tc>
          <w:tcPr>
            <w:tcW w:w="2410" w:type="dxa"/>
            <w:vMerge w:val="restart"/>
            <w:vAlign w:val="center"/>
          </w:tcPr>
          <w:p w14:paraId="581257A0">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现代中药</w:t>
            </w:r>
          </w:p>
        </w:tc>
        <w:tc>
          <w:tcPr>
            <w:tcW w:w="1276" w:type="dxa"/>
            <w:vMerge w:val="continue"/>
            <w:vAlign w:val="center"/>
          </w:tcPr>
          <w:p w14:paraId="33277F99">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4ABBDFF0">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玉溪市维和制药有限公司</w:t>
            </w:r>
          </w:p>
        </w:tc>
      </w:tr>
      <w:tr w14:paraId="4002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39567A40">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53181008">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0AD24520">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0864AEFF">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玉溪健坤生物药业有限公司</w:t>
            </w:r>
          </w:p>
        </w:tc>
      </w:tr>
      <w:tr w14:paraId="3821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49575EFF">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64CC4044">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178CB22B">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68AB9AB9">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云南望子隆药业有限公司</w:t>
            </w:r>
          </w:p>
        </w:tc>
      </w:tr>
      <w:tr w14:paraId="72B6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0680CB8F">
            <w:pPr>
              <w:adjustRightInd w:val="0"/>
              <w:snapToGrid w:val="0"/>
              <w:jc w:val="center"/>
              <w:rPr>
                <w:rFonts w:hint="default" w:ascii="Times New Roman" w:hAnsi="Times New Roman" w:eastAsia="仿宋_GB2312" w:cs="Times New Roman"/>
                <w:sz w:val="24"/>
                <w:szCs w:val="24"/>
              </w:rPr>
            </w:pPr>
          </w:p>
        </w:tc>
        <w:tc>
          <w:tcPr>
            <w:tcW w:w="2410" w:type="dxa"/>
            <w:vMerge w:val="restart"/>
            <w:vAlign w:val="center"/>
          </w:tcPr>
          <w:p w14:paraId="3AC2A35B">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绿色健康食品及保健品</w:t>
            </w:r>
          </w:p>
        </w:tc>
        <w:tc>
          <w:tcPr>
            <w:tcW w:w="1276" w:type="dxa"/>
            <w:vMerge w:val="continue"/>
            <w:vAlign w:val="center"/>
          </w:tcPr>
          <w:p w14:paraId="589540B9">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1282B4C7">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云南达利食品有限公司</w:t>
            </w:r>
          </w:p>
        </w:tc>
      </w:tr>
      <w:tr w14:paraId="0B09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276CB895">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59022B05">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616434CC">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3CD050D6">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云南猫哆哩集团食品有限公司</w:t>
            </w:r>
          </w:p>
        </w:tc>
      </w:tr>
      <w:tr w14:paraId="7A34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2A587ABD">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04F22DD0">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74383BBA">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1335359D">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云南贡润祥茶产业开发有限公司</w:t>
            </w:r>
          </w:p>
        </w:tc>
      </w:tr>
      <w:tr w14:paraId="4C4F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1CC3CFD2">
            <w:pPr>
              <w:adjustRightInd w:val="0"/>
              <w:snapToGrid w:val="0"/>
              <w:jc w:val="center"/>
              <w:rPr>
                <w:rFonts w:hint="default" w:ascii="Times New Roman" w:hAnsi="Times New Roman" w:eastAsia="仿宋_GB2312" w:cs="Times New Roman"/>
                <w:sz w:val="24"/>
                <w:szCs w:val="24"/>
              </w:rPr>
            </w:pPr>
          </w:p>
        </w:tc>
        <w:tc>
          <w:tcPr>
            <w:tcW w:w="2410" w:type="dxa"/>
            <w:vAlign w:val="center"/>
          </w:tcPr>
          <w:p w14:paraId="2E5BECA9">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医疗器械</w:t>
            </w:r>
          </w:p>
        </w:tc>
        <w:tc>
          <w:tcPr>
            <w:tcW w:w="1276" w:type="dxa"/>
            <w:vMerge w:val="continue"/>
            <w:vAlign w:val="center"/>
          </w:tcPr>
          <w:p w14:paraId="2B603F54">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743A6941">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14:paraId="31B8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3CBB06BD">
            <w:pPr>
              <w:adjustRightInd w:val="0"/>
              <w:snapToGrid w:val="0"/>
              <w:jc w:val="center"/>
              <w:rPr>
                <w:rFonts w:hint="default" w:ascii="Times New Roman" w:hAnsi="Times New Roman" w:eastAsia="仿宋_GB2312" w:cs="Times New Roman"/>
                <w:sz w:val="24"/>
                <w:szCs w:val="24"/>
              </w:rPr>
            </w:pPr>
          </w:p>
        </w:tc>
        <w:tc>
          <w:tcPr>
            <w:tcW w:w="2410" w:type="dxa"/>
            <w:vAlign w:val="center"/>
          </w:tcPr>
          <w:p w14:paraId="244D979F">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其他领域（仿制药、健康服务等）</w:t>
            </w:r>
          </w:p>
        </w:tc>
        <w:tc>
          <w:tcPr>
            <w:tcW w:w="1276" w:type="dxa"/>
            <w:vMerge w:val="continue"/>
            <w:vAlign w:val="center"/>
          </w:tcPr>
          <w:p w14:paraId="7640B3C3">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37E71272">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14:paraId="0C43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14:paraId="5CCAA6E9">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数字经济</w:t>
            </w:r>
          </w:p>
        </w:tc>
        <w:tc>
          <w:tcPr>
            <w:tcW w:w="2410" w:type="dxa"/>
            <w:vAlign w:val="center"/>
          </w:tcPr>
          <w:p w14:paraId="4AE931A0">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电子信息制造</w:t>
            </w:r>
          </w:p>
        </w:tc>
        <w:tc>
          <w:tcPr>
            <w:tcW w:w="1276" w:type="dxa"/>
            <w:vMerge w:val="restart"/>
            <w:vAlign w:val="center"/>
          </w:tcPr>
          <w:p w14:paraId="7638A49F">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150</w:t>
            </w:r>
          </w:p>
        </w:tc>
        <w:tc>
          <w:tcPr>
            <w:tcW w:w="4111" w:type="dxa"/>
            <w:vAlign w:val="center"/>
          </w:tcPr>
          <w:p w14:paraId="5149E80B">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14:paraId="40C6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055AFE10">
            <w:pPr>
              <w:adjustRightInd w:val="0"/>
              <w:snapToGrid w:val="0"/>
              <w:jc w:val="center"/>
              <w:rPr>
                <w:rFonts w:hint="default" w:ascii="Times New Roman" w:hAnsi="Times New Roman" w:eastAsia="仿宋_GB2312" w:cs="Times New Roman"/>
                <w:sz w:val="24"/>
                <w:szCs w:val="24"/>
              </w:rPr>
            </w:pPr>
          </w:p>
        </w:tc>
        <w:tc>
          <w:tcPr>
            <w:tcW w:w="2410" w:type="dxa"/>
            <w:vMerge w:val="restart"/>
            <w:vAlign w:val="center"/>
          </w:tcPr>
          <w:p w14:paraId="746C2345">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数字服务</w:t>
            </w:r>
          </w:p>
        </w:tc>
        <w:tc>
          <w:tcPr>
            <w:tcW w:w="1276" w:type="dxa"/>
            <w:vMerge w:val="continue"/>
            <w:vAlign w:val="center"/>
          </w:tcPr>
          <w:p w14:paraId="06892C53">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7D31DE6E">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京东</w:t>
            </w:r>
          </w:p>
        </w:tc>
      </w:tr>
      <w:tr w14:paraId="2E55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114F26F3">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66794285">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47A1E9D6">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13DFC6BC">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超盟金服</w:t>
            </w:r>
          </w:p>
        </w:tc>
      </w:tr>
      <w:tr w14:paraId="3314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36CE510D">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3D465D38">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0FBC47E3">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6847CE48">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玉溪奇安信有限公司</w:t>
            </w:r>
          </w:p>
        </w:tc>
      </w:tr>
      <w:tr w14:paraId="0FDF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3E52586C">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75373FD6">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52C00BEF">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188D5510">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云南永兴元科技有限公司</w:t>
            </w:r>
          </w:p>
        </w:tc>
      </w:tr>
      <w:tr w14:paraId="6091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50B3F326">
            <w:pPr>
              <w:adjustRightInd w:val="0"/>
              <w:snapToGrid w:val="0"/>
              <w:jc w:val="center"/>
              <w:rPr>
                <w:rFonts w:hint="default" w:ascii="Times New Roman" w:hAnsi="Times New Roman" w:eastAsia="仿宋_GB2312" w:cs="Times New Roman"/>
                <w:sz w:val="24"/>
                <w:szCs w:val="24"/>
              </w:rPr>
            </w:pPr>
          </w:p>
        </w:tc>
        <w:tc>
          <w:tcPr>
            <w:tcW w:w="2410" w:type="dxa"/>
            <w:vAlign w:val="center"/>
          </w:tcPr>
          <w:p w14:paraId="4AF43306">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其他领域（工业互联网等）</w:t>
            </w:r>
          </w:p>
        </w:tc>
        <w:tc>
          <w:tcPr>
            <w:tcW w:w="1276" w:type="dxa"/>
            <w:vMerge w:val="continue"/>
            <w:vAlign w:val="center"/>
          </w:tcPr>
          <w:p w14:paraId="2F0496CB">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6E401F61">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14:paraId="1FFF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14:paraId="54BA5920">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新能源新材料</w:t>
            </w:r>
          </w:p>
        </w:tc>
        <w:tc>
          <w:tcPr>
            <w:tcW w:w="2410" w:type="dxa"/>
            <w:vAlign w:val="center"/>
          </w:tcPr>
          <w:p w14:paraId="4E79DEBB">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新能源材料</w:t>
            </w:r>
          </w:p>
        </w:tc>
        <w:tc>
          <w:tcPr>
            <w:tcW w:w="1276" w:type="dxa"/>
            <w:vMerge w:val="restart"/>
            <w:vAlign w:val="center"/>
          </w:tcPr>
          <w:p w14:paraId="13E8A4A3">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120</w:t>
            </w:r>
          </w:p>
        </w:tc>
        <w:tc>
          <w:tcPr>
            <w:tcW w:w="4111" w:type="dxa"/>
            <w:vAlign w:val="center"/>
          </w:tcPr>
          <w:p w14:paraId="08982B46">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玉溪华电达新能源科技有限公司</w:t>
            </w:r>
          </w:p>
        </w:tc>
      </w:tr>
      <w:tr w14:paraId="061D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3AECE8B7">
            <w:pPr>
              <w:adjustRightInd w:val="0"/>
              <w:snapToGrid w:val="0"/>
              <w:jc w:val="center"/>
              <w:rPr>
                <w:rFonts w:hint="default" w:ascii="Times New Roman" w:hAnsi="Times New Roman" w:eastAsia="仿宋_GB2312" w:cs="Times New Roman"/>
                <w:sz w:val="24"/>
                <w:szCs w:val="24"/>
              </w:rPr>
            </w:pPr>
          </w:p>
        </w:tc>
        <w:tc>
          <w:tcPr>
            <w:tcW w:w="2410" w:type="dxa"/>
            <w:vAlign w:val="center"/>
          </w:tcPr>
          <w:p w14:paraId="52A8F4F4">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光电子材料</w:t>
            </w:r>
          </w:p>
        </w:tc>
        <w:tc>
          <w:tcPr>
            <w:tcW w:w="1276" w:type="dxa"/>
            <w:vMerge w:val="continue"/>
            <w:vAlign w:val="center"/>
          </w:tcPr>
          <w:p w14:paraId="28B3D406">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48D10BBD">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云南蓝晶科技有限公司</w:t>
            </w:r>
          </w:p>
        </w:tc>
      </w:tr>
      <w:tr w14:paraId="0AFA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14:paraId="5EF19959">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现代服务业</w:t>
            </w:r>
          </w:p>
        </w:tc>
        <w:tc>
          <w:tcPr>
            <w:tcW w:w="2410" w:type="dxa"/>
            <w:vAlign w:val="center"/>
          </w:tcPr>
          <w:p w14:paraId="4413B4A5">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现代物流</w:t>
            </w:r>
          </w:p>
        </w:tc>
        <w:tc>
          <w:tcPr>
            <w:tcW w:w="1276" w:type="dxa"/>
            <w:vMerge w:val="restart"/>
            <w:vAlign w:val="center"/>
          </w:tcPr>
          <w:p w14:paraId="4BB356B5">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400</w:t>
            </w:r>
          </w:p>
        </w:tc>
        <w:tc>
          <w:tcPr>
            <w:tcW w:w="4111" w:type="dxa"/>
            <w:vAlign w:val="center"/>
          </w:tcPr>
          <w:p w14:paraId="31B0006E">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通力物流</w:t>
            </w:r>
          </w:p>
        </w:tc>
      </w:tr>
      <w:tr w14:paraId="01B3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48C2BF41">
            <w:pPr>
              <w:adjustRightInd w:val="0"/>
              <w:snapToGrid w:val="0"/>
              <w:jc w:val="center"/>
              <w:rPr>
                <w:rFonts w:hint="default" w:ascii="Times New Roman" w:hAnsi="Times New Roman" w:eastAsia="仿宋_GB2312" w:cs="Times New Roman"/>
                <w:sz w:val="24"/>
                <w:szCs w:val="24"/>
              </w:rPr>
            </w:pPr>
          </w:p>
        </w:tc>
        <w:tc>
          <w:tcPr>
            <w:tcW w:w="2410" w:type="dxa"/>
            <w:vAlign w:val="center"/>
          </w:tcPr>
          <w:p w14:paraId="79E58823">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电子商务</w:t>
            </w:r>
          </w:p>
        </w:tc>
        <w:tc>
          <w:tcPr>
            <w:tcW w:w="1276" w:type="dxa"/>
            <w:vMerge w:val="continue"/>
            <w:vAlign w:val="center"/>
          </w:tcPr>
          <w:p w14:paraId="6F2F12D7">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2343BEFD">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r>
      <w:tr w14:paraId="39E9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730BA95C">
            <w:pPr>
              <w:adjustRightInd w:val="0"/>
              <w:snapToGrid w:val="0"/>
              <w:jc w:val="center"/>
              <w:rPr>
                <w:rFonts w:hint="default" w:ascii="Times New Roman" w:hAnsi="Times New Roman" w:eastAsia="仿宋_GB2312" w:cs="Times New Roman"/>
                <w:sz w:val="24"/>
                <w:szCs w:val="24"/>
              </w:rPr>
            </w:pPr>
          </w:p>
        </w:tc>
        <w:tc>
          <w:tcPr>
            <w:tcW w:w="2410" w:type="dxa"/>
            <w:vMerge w:val="restart"/>
            <w:vAlign w:val="center"/>
          </w:tcPr>
          <w:p w14:paraId="3EC07A7F">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科技服务</w:t>
            </w:r>
          </w:p>
        </w:tc>
        <w:tc>
          <w:tcPr>
            <w:tcW w:w="1276" w:type="dxa"/>
            <w:vMerge w:val="continue"/>
            <w:vAlign w:val="center"/>
          </w:tcPr>
          <w:p w14:paraId="049CDA04">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3A0FFF70">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展弘科技孵化公司</w:t>
            </w:r>
          </w:p>
        </w:tc>
      </w:tr>
      <w:tr w14:paraId="3A4D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11230794">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3CD26681">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415BD056">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0EB60D5D">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中科钛领</w:t>
            </w:r>
          </w:p>
        </w:tc>
      </w:tr>
      <w:tr w14:paraId="73A2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3A65AE4C">
            <w:pPr>
              <w:adjustRightInd w:val="0"/>
              <w:snapToGrid w:val="0"/>
              <w:jc w:val="center"/>
              <w:rPr>
                <w:rFonts w:hint="default" w:ascii="Times New Roman" w:hAnsi="Times New Roman" w:eastAsia="仿宋_GB2312" w:cs="Times New Roman"/>
                <w:sz w:val="24"/>
                <w:szCs w:val="24"/>
              </w:rPr>
            </w:pPr>
          </w:p>
        </w:tc>
        <w:tc>
          <w:tcPr>
            <w:tcW w:w="2410" w:type="dxa"/>
            <w:vMerge w:val="continue"/>
            <w:vAlign w:val="center"/>
          </w:tcPr>
          <w:p w14:paraId="4E2E2C74">
            <w:pPr>
              <w:adjustRightInd w:val="0"/>
              <w:snapToGrid w:val="0"/>
              <w:jc w:val="center"/>
              <w:rPr>
                <w:rFonts w:hint="default" w:ascii="Times New Roman" w:hAnsi="Times New Roman" w:eastAsia="仿宋_GB2312" w:cs="Times New Roman"/>
                <w:sz w:val="24"/>
                <w:szCs w:val="24"/>
              </w:rPr>
            </w:pPr>
          </w:p>
        </w:tc>
        <w:tc>
          <w:tcPr>
            <w:tcW w:w="1276" w:type="dxa"/>
            <w:vMerge w:val="continue"/>
            <w:vAlign w:val="center"/>
          </w:tcPr>
          <w:p w14:paraId="3D44C456">
            <w:pPr>
              <w:adjustRightInd w:val="0"/>
              <w:snapToGrid w:val="0"/>
              <w:jc w:val="center"/>
              <w:rPr>
                <w:rFonts w:hint="default" w:ascii="Times New Roman" w:hAnsi="Times New Roman" w:eastAsia="仿宋_GB2312" w:cs="Times New Roman"/>
                <w:sz w:val="24"/>
                <w:szCs w:val="24"/>
              </w:rPr>
            </w:pPr>
          </w:p>
        </w:tc>
        <w:tc>
          <w:tcPr>
            <w:tcW w:w="4111" w:type="dxa"/>
            <w:vAlign w:val="center"/>
          </w:tcPr>
          <w:p w14:paraId="43A7277E">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猪八戒</w:t>
            </w:r>
          </w:p>
        </w:tc>
      </w:tr>
    </w:tbl>
    <w:p w14:paraId="7F33B0BF">
      <w:pPr>
        <w:pStyle w:val="12"/>
        <w:jc w:val="left"/>
        <w:rPr>
          <w:rFonts w:hint="default" w:ascii="Times New Roman" w:hAnsi="Times New Roman" w:cs="Times New Roman"/>
          <w:b w:val="0"/>
        </w:rPr>
      </w:pPr>
      <w:r>
        <w:rPr>
          <w:rFonts w:hint="default" w:ascii="Times New Roman" w:hAnsi="Times New Roman" w:cs="Times New Roman"/>
          <w:b w:val="0"/>
        </w:rPr>
        <w:br w:type="page"/>
      </w:r>
    </w:p>
    <w:p w14:paraId="46B03918">
      <w:pPr>
        <w:pStyle w:val="12"/>
        <w:jc w:val="left"/>
        <w:rPr>
          <w:rFonts w:hint="default" w:ascii="Times New Roman" w:hAnsi="Times New Roman" w:cs="Times New Roman"/>
          <w:b w:val="0"/>
        </w:rPr>
      </w:pPr>
      <w:bookmarkStart w:id="68" w:name="_Toc67935942"/>
      <w:r>
        <w:rPr>
          <w:rFonts w:hint="default" w:ascii="Times New Roman" w:hAnsi="Times New Roman" w:cs="Times New Roman"/>
          <w:b w:val="0"/>
        </w:rPr>
        <w:t>附录3：国家高新区典型案例</w:t>
      </w:r>
      <w:bookmarkEnd w:id="68"/>
    </w:p>
    <w:p w14:paraId="08816CD6">
      <w:pPr>
        <w:spacing w:before="156" w:beforeLines="50"/>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国家高新区典型案例</w:t>
      </w:r>
    </w:p>
    <w:p w14:paraId="0FE01892">
      <w:pPr>
        <w:pStyle w:val="25"/>
        <w:numPr>
          <w:ilvl w:val="0"/>
          <w:numId w:val="6"/>
        </w:numPr>
        <w:spacing w:before="156" w:beforeLines="50"/>
        <w:ind w:firstLineChars="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重视新型主体培育，开展瞪羚独角兽企业培育行动</w:t>
      </w:r>
    </w:p>
    <w:p w14:paraId="65780924">
      <w:pPr>
        <w:widowControl/>
        <w:spacing w:after="156" w:afterLines="50"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瞪羚企业和独角兽企业为代表的新型主体成为区域经济快速增长的重要引领。各地先后启动</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瞪羚企业培育计划</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独角兽企业培育计划</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，探索成立</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瞪羚俱乐部</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独角兽俱乐部</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等新经济企业成长促进组织，通过培育瞪羚独角兽企业，培育新经济，发展新动能。东湖、成都等高新区等重视新型主体培育，积极开展瞪羚、独角兽企业培育，成功培育一批新经济企业。</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6225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296" w:type="dxa"/>
            <w:vAlign w:val="center"/>
          </w:tcPr>
          <w:p w14:paraId="306E2C5B">
            <w:pPr>
              <w:jc w:val="center"/>
              <w:rPr>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东湖高新区——瞪羚企业培育的样板</w:t>
            </w:r>
          </w:p>
        </w:tc>
      </w:tr>
      <w:tr w14:paraId="2388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8296" w:type="dxa"/>
          </w:tcPr>
          <w:p w14:paraId="01FD909E">
            <w:pPr>
              <w:spacing w:line="560" w:lineRule="exact"/>
              <w:ind w:firstLine="560"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t>东湖高新区于2011年启动瞪羚企业培育计划，是国内仅晚于中关村，较早开展瞪羚企业培育的地区。截至目前，高新区瞪羚企业数量增长超过10倍，培育出一批上市公司和独角兽企业，逐步推动武汉市成为中国互联网第四城，为科技部火炬中心在全国推广瞪羚企业培育提供典型样板。</w:t>
            </w:r>
          </w:p>
          <w:p w14:paraId="140608FC">
            <w:pPr>
              <w:spacing w:line="560" w:lineRule="exact"/>
              <w:ind w:firstLine="562" w:firstLineChars="20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主要做法。</w:t>
            </w:r>
            <w:r>
              <w:rPr>
                <w:rFonts w:hint="default" w:ascii="Times New Roman" w:hAnsi="Times New Roman" w:eastAsia="仿宋_GB2312" w:cs="Times New Roman"/>
                <w:bCs/>
                <w:color w:val="000000" w:themeColor="text1"/>
                <w:sz w:val="28"/>
                <w:szCs w:val="28"/>
                <w14:textFill>
                  <w14:solidFill>
                    <w14:schemeClr w14:val="tx1"/>
                  </w14:solidFill>
                </w14:textFill>
              </w:rPr>
              <w:t>东湖高新区于2012年发布《武汉东湖新技术开发区瞪羚企业认定及培育办法》，先后于2015年、2018年进行修订，对企业认定标准、培育措施进行创新和完善。连续8年，每年组织年度光谷瞪羚企业大会，公开发布光谷瞪羚企业榜单。</w:t>
            </w:r>
            <w:r>
              <w:rPr>
                <w:rFonts w:hint="default" w:ascii="Times New Roman" w:hAnsi="Times New Roman" w:eastAsia="仿宋_GB2312" w:cs="Times New Roman"/>
                <w:b/>
                <w:bCs/>
                <w:color w:val="000000" w:themeColor="text1"/>
                <w:sz w:val="28"/>
                <w:szCs w:val="28"/>
                <w14:textFill>
                  <w14:solidFill>
                    <w14:schemeClr w14:val="tx1"/>
                  </w14:solidFill>
                </w14:textFill>
              </w:rPr>
              <w:t>主要开展四方面的培育工作：</w:t>
            </w:r>
          </w:p>
          <w:p w14:paraId="4D68E282">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第一，给予咨询补贴，提升洞见能力。</w:t>
            </w:r>
            <w:r>
              <w:rPr>
                <w:rFonts w:hint="default" w:ascii="Times New Roman" w:hAnsi="Times New Roman" w:eastAsia="仿宋_GB2312" w:cs="Times New Roman"/>
                <w:bCs/>
                <w:color w:val="000000" w:themeColor="text1"/>
                <w:sz w:val="28"/>
                <w:szCs w:val="28"/>
                <w14:textFill>
                  <w14:solidFill>
                    <w14:schemeClr w14:val="tx1"/>
                  </w14:solidFill>
                </w14:textFill>
              </w:rPr>
              <w:t>支持瞪羚企业开展商业模式、业务选择、人力资源、信息化等方面的战略咨询，给予企业咨询费用 50%的补贴。已累计为三十余家企业提供咨询补贴。</w:t>
            </w:r>
            <w:r>
              <w:rPr>
                <w:rFonts w:hint="default" w:ascii="Times New Roman" w:hAnsi="Times New Roman" w:eastAsia="仿宋_GB2312" w:cs="Times New Roman"/>
                <w:b/>
                <w:bCs/>
                <w:color w:val="000000" w:themeColor="text1"/>
                <w:sz w:val="28"/>
                <w:szCs w:val="28"/>
                <w14:textFill>
                  <w14:solidFill>
                    <w14:schemeClr w14:val="tx1"/>
                  </w14:solidFill>
                </w14:textFill>
              </w:rPr>
              <w:t>第二，组织全球游学，链接高端资源。</w:t>
            </w:r>
            <w:r>
              <w:rPr>
                <w:rFonts w:hint="default" w:ascii="Times New Roman" w:hAnsi="Times New Roman" w:eastAsia="仿宋_GB2312" w:cs="Times New Roman"/>
                <w:bCs/>
                <w:color w:val="000000" w:themeColor="text1"/>
                <w:sz w:val="28"/>
                <w:szCs w:val="28"/>
                <w14:textFill>
                  <w14:solidFill>
                    <w14:schemeClr w14:val="tx1"/>
                  </w14:solidFill>
                </w14:textFill>
              </w:rPr>
              <w:t>深入推进光谷瞪羚企业</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555</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国际交流计划，2019年共计40余家瞪羚企业创始人前往美国硅谷、日本、以色列等全球创新高地学习。</w:t>
            </w:r>
            <w:r>
              <w:rPr>
                <w:rFonts w:hint="default" w:ascii="Times New Roman" w:hAnsi="Times New Roman" w:eastAsia="仿宋_GB2312" w:cs="Times New Roman"/>
                <w:b/>
                <w:bCs/>
                <w:color w:val="000000" w:themeColor="text1"/>
                <w:sz w:val="28"/>
                <w:szCs w:val="28"/>
                <w14:textFill>
                  <w14:solidFill>
                    <w14:schemeClr w14:val="tx1"/>
                  </w14:solidFill>
                </w14:textFill>
              </w:rPr>
              <w:t>第三，创新融资支持，降低融资难度。</w:t>
            </w:r>
            <w:r>
              <w:rPr>
                <w:rFonts w:hint="default" w:ascii="Times New Roman" w:hAnsi="Times New Roman" w:eastAsia="仿宋_GB2312" w:cs="Times New Roman"/>
                <w:bCs/>
                <w:color w:val="000000" w:themeColor="text1"/>
                <w:sz w:val="28"/>
                <w:szCs w:val="28"/>
                <w14:textFill>
                  <w14:solidFill>
                    <w14:schemeClr w14:val="tx1"/>
                  </w14:solidFill>
                </w14:textFill>
              </w:rPr>
              <w:t>一是对瞪羚企业予以银行贷款贴息支持，补贴金额为企业支付银行贷款利息总额的25%；二是支持金融机构为瞪羚企业提供无抵押贷款，对其为瞪羚企业提供科技信贷服务形成的本金损失给予最高80%的风险补偿；三是设立10亿元的光谷瞪羚基金，为瞪羚企业提供股权、债权、保险等全方位融资服务。</w:t>
            </w:r>
            <w:r>
              <w:rPr>
                <w:rFonts w:hint="default" w:ascii="Times New Roman" w:hAnsi="Times New Roman" w:eastAsia="仿宋_GB2312" w:cs="Times New Roman"/>
                <w:b/>
                <w:bCs/>
                <w:color w:val="000000" w:themeColor="text1"/>
                <w:sz w:val="28"/>
                <w:szCs w:val="28"/>
                <w14:textFill>
                  <w14:solidFill>
                    <w14:schemeClr w14:val="tx1"/>
                  </w14:solidFill>
                </w14:textFill>
              </w:rPr>
              <w:t>第四，设立瞪羚俱乐部，打造企业圈子</w:t>
            </w:r>
            <w:r>
              <w:rPr>
                <w:rFonts w:hint="default" w:ascii="Times New Roman" w:hAnsi="Times New Roman" w:eastAsia="仿宋_GB2312" w:cs="Times New Roman"/>
                <w:bCs/>
                <w:color w:val="000000" w:themeColor="text1"/>
                <w:sz w:val="28"/>
                <w:szCs w:val="28"/>
                <w14:textFill>
                  <w14:solidFill>
                    <w14:schemeClr w14:val="tx1"/>
                  </w14:solidFill>
                </w14:textFill>
              </w:rPr>
              <w:t>。建设光谷瞪羚企业俱乐部，依托平台引入知识产权、融资并购、国际服务等领域高端服务机构。组织开展近百场光谷瞪羚企业商业模式头脑风暴会、专题培训会等活动。</w:t>
            </w:r>
          </w:p>
        </w:tc>
      </w:tr>
      <w:tr w14:paraId="5FFA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96" w:type="dxa"/>
          </w:tcPr>
          <w:p w14:paraId="51F08101">
            <w:pPr>
              <w:spacing w:line="560" w:lineRule="exact"/>
              <w:jc w:val="center"/>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成都高新区——推进独角兽梯度培育计划</w:t>
            </w:r>
          </w:p>
        </w:tc>
      </w:tr>
      <w:tr w14:paraId="369D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96" w:type="dxa"/>
          </w:tcPr>
          <w:p w14:paraId="11258B56">
            <w:pPr>
              <w:spacing w:line="560" w:lineRule="exact"/>
              <w:ind w:firstLine="560"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t>成都高新区独角兽企业培育成效显著，涌现出新潮传媒、新网银行、鼎桥通信、蓝光英诺、极米科技、医云科技等一大批独角兽和潜在独角兽企业。成都市公布的31家潜在独角兽企业中，成都高新区占30家。在成都市2018年度新经济百家重点培育企业中，成都高新区企业有69家。</w:t>
            </w:r>
          </w:p>
          <w:p w14:paraId="5454B1E6">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主要做法：</w:t>
            </w:r>
            <w:r>
              <w:rPr>
                <w:rFonts w:hint="default" w:ascii="Times New Roman" w:hAnsi="Times New Roman" w:eastAsia="仿宋_GB2312" w:cs="Times New Roman"/>
                <w:bCs/>
                <w:color w:val="000000" w:themeColor="text1"/>
                <w:sz w:val="28"/>
                <w:szCs w:val="28"/>
                <w14:textFill>
                  <w14:solidFill>
                    <w14:schemeClr w14:val="tx1"/>
                  </w14:solidFill>
                </w14:textFill>
              </w:rPr>
              <w:t>2018年，成都高新区发布《关于深化产业培育实现高质量发展若干政策意见》，推进企业梯度培育计划。</w:t>
            </w:r>
          </w:p>
          <w:p w14:paraId="04C1B08A">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第一，构建企业梯度培育体系。</w:t>
            </w:r>
            <w:r>
              <w:rPr>
                <w:rFonts w:hint="default" w:ascii="Times New Roman" w:hAnsi="Times New Roman" w:eastAsia="仿宋_GB2312" w:cs="Times New Roman"/>
                <w:bCs/>
                <w:color w:val="000000" w:themeColor="text1"/>
                <w:sz w:val="28"/>
                <w:szCs w:val="28"/>
                <w14:textFill>
                  <w14:solidFill>
                    <w14:schemeClr w14:val="tx1"/>
                  </w14:solidFill>
                </w14:textFill>
              </w:rPr>
              <w:t>对首次认定的四类企业，给予不同额度的奖励，其中对于首次认定的潜在独角兽企业、独角兽企业，分别给予企业管理团队30万元、100万元一次性奖励。潜在独角兽企业、独角兽企业营业收入首次达到5亿元、10亿元，分别给予企业管理团队10万元、20万元一次性奖励。</w:t>
            </w:r>
            <w:r>
              <w:rPr>
                <w:rFonts w:hint="default" w:ascii="Times New Roman" w:hAnsi="Times New Roman" w:eastAsia="仿宋_GB2312" w:cs="Times New Roman"/>
                <w:b/>
                <w:bCs/>
                <w:color w:val="000000" w:themeColor="text1"/>
                <w:sz w:val="28"/>
                <w:szCs w:val="28"/>
                <w14:textFill>
                  <w14:solidFill>
                    <w14:schemeClr w14:val="tx1"/>
                  </w14:solidFill>
                </w14:textFill>
              </w:rPr>
              <w:t>第二，设立总规模100亿元的独角兽股权投资基金。</w:t>
            </w:r>
            <w:r>
              <w:rPr>
                <w:rFonts w:hint="default" w:ascii="Times New Roman" w:hAnsi="Times New Roman" w:eastAsia="仿宋_GB2312" w:cs="Times New Roman"/>
                <w:bCs/>
                <w:color w:val="000000" w:themeColor="text1"/>
                <w:sz w:val="28"/>
                <w:szCs w:val="28"/>
                <w14:textFill>
                  <w14:solidFill>
                    <w14:schemeClr w14:val="tx1"/>
                  </w14:solidFill>
                </w14:textFill>
              </w:rPr>
              <w:t>按照企业融资金额3%—9%的比例对企业进行投资，其中投资金额的1/3份额所购股权1—2年内按</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投资额+8%收益</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由企业核心团队回购，帮助企业团队锁定股份。</w:t>
            </w:r>
            <w:r>
              <w:rPr>
                <w:rFonts w:hint="default" w:ascii="Times New Roman" w:hAnsi="Times New Roman" w:eastAsia="仿宋_GB2312" w:cs="Times New Roman"/>
                <w:b/>
                <w:bCs/>
                <w:color w:val="000000" w:themeColor="text1"/>
                <w:sz w:val="28"/>
                <w:szCs w:val="28"/>
                <w14:textFill>
                  <w14:solidFill>
                    <w14:schemeClr w14:val="tx1"/>
                  </w14:solidFill>
                </w14:textFill>
              </w:rPr>
              <w:t>第三，设立</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bCs/>
                <w:color w:val="000000" w:themeColor="text1"/>
                <w:sz w:val="28"/>
                <w:szCs w:val="28"/>
                <w14:textFill>
                  <w14:solidFill>
                    <w14:schemeClr w14:val="tx1"/>
                  </w14:solidFill>
                </w14:textFill>
              </w:rPr>
              <w:t>独角兽培育贷</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bCs/>
                <w:color w:val="000000" w:themeColor="text1"/>
                <w:sz w:val="28"/>
                <w:szCs w:val="28"/>
                <w14:textFill>
                  <w14:solidFill>
                    <w14:schemeClr w14:val="tx1"/>
                  </w14:solidFill>
                </w14:textFill>
              </w:rPr>
              <w:t>独角兽周转金</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bCs/>
                <w:color w:val="000000" w:themeColor="text1"/>
                <w:sz w:val="28"/>
                <w:szCs w:val="28"/>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设立政府政策性风险资金池，银行放大10倍授信，给予单户企业最高贷款金额5000万元信贷支持；联合小贷公司为</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独角兽培育贷</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支持的企业提供资金周转。</w:t>
            </w:r>
          </w:p>
        </w:tc>
      </w:tr>
    </w:tbl>
    <w:p w14:paraId="61237403">
      <w:pPr>
        <w:widowControl/>
        <w:spacing w:line="560" w:lineRule="exact"/>
        <w:rPr>
          <w:rFonts w:hint="default" w:ascii="Times New Roman" w:hAnsi="Times New Roman" w:eastAsia="仿宋_GB2312" w:cs="Times New Roman"/>
          <w:sz w:val="32"/>
        </w:rPr>
      </w:pPr>
    </w:p>
    <w:p w14:paraId="3D06CED5">
      <w:pPr>
        <w:pStyle w:val="25"/>
        <w:numPr>
          <w:ilvl w:val="0"/>
          <w:numId w:val="6"/>
        </w:numPr>
        <w:spacing w:before="156" w:beforeLines="50"/>
        <w:ind w:firstLineChars="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重视应用场景搭建，发布场景机会清单</w:t>
      </w:r>
    </w:p>
    <w:p w14:paraId="6923009C">
      <w:pPr>
        <w:widowControl/>
        <w:spacing w:after="156" w:afterLines="50"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场景是新经济的高效应用中心和创新中心，为企业爆发式成长提供重要引擎。场景把人才、资本、技术、政策等创新相关的要素集聚在一起，把市场的供给与需求、技术的供给与需求紧密结合起来，形成聚变，由此产生改变世界的颠覆式创新。中关村、成都高新区等积极启动场景建设、发布可视化场景机会清单，满足新经济企业产品和服务与市场需求的有效对接，激发区域创新活力和内生动力。</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25E3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296" w:type="dxa"/>
          </w:tcPr>
          <w:p w14:paraId="5A2F812F">
            <w:pPr>
              <w:jc w:val="center"/>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中关村——探索</w:t>
            </w:r>
            <w:r>
              <w:rPr>
                <w:rFonts w:hint="eastAsia" w:ascii="Times New Roman" w:hAnsi="Times New Roman" w:eastAsia="仿宋_GB2312" w:cs="Times New Roman"/>
                <w:b/>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color w:val="000000" w:themeColor="text1"/>
                <w:sz w:val="28"/>
                <w:szCs w:val="28"/>
                <w14:textFill>
                  <w14:solidFill>
                    <w14:schemeClr w14:val="tx1"/>
                  </w14:solidFill>
                </w14:textFill>
              </w:rPr>
              <w:t>揭榜挂帅</w:t>
            </w:r>
            <w:r>
              <w:rPr>
                <w:rFonts w:hint="eastAsia" w:ascii="Times New Roman" w:hAnsi="Times New Roman" w:eastAsia="仿宋_GB2312" w:cs="Times New Roman"/>
                <w:b/>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color w:val="000000" w:themeColor="text1"/>
                <w:sz w:val="28"/>
                <w:szCs w:val="28"/>
                <w14:textFill>
                  <w14:solidFill>
                    <w14:schemeClr w14:val="tx1"/>
                  </w14:solidFill>
                </w14:textFill>
              </w:rPr>
              <w:t>新产品首发</w:t>
            </w:r>
            <w:r>
              <w:rPr>
                <w:rFonts w:hint="eastAsia" w:ascii="Times New Roman" w:hAnsi="Times New Roman" w:eastAsia="仿宋_GB2312" w:cs="Times New Roman"/>
                <w:b/>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color w:val="000000" w:themeColor="text1"/>
                <w:sz w:val="28"/>
                <w:szCs w:val="28"/>
                <w14:textFill>
                  <w14:solidFill>
                    <w14:schemeClr w14:val="tx1"/>
                  </w14:solidFill>
                </w14:textFill>
              </w:rPr>
              <w:t>等工作机制</w:t>
            </w:r>
          </w:p>
        </w:tc>
      </w:tr>
      <w:tr w14:paraId="2CE2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296" w:type="dxa"/>
          </w:tcPr>
          <w:p w14:paraId="32EE8B7F">
            <w:pPr>
              <w:spacing w:line="560" w:lineRule="exact"/>
              <w:ind w:firstLine="560"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t>中关村管委会深入贯彻落实《北京市加快应用场景建设推进首都高质量发展的工作方案》《北京市加快新场景建设培育数字经济新生态行动方案》有关要求，围绕智能交通、科技冬奥、智慧园区、科技抗疫等重点领域，发挥支撑全市应用场景建设作用。</w:t>
            </w:r>
            <w:r>
              <w:rPr>
                <w:rFonts w:hint="default" w:ascii="Times New Roman" w:hAnsi="Times New Roman" w:eastAsia="仿宋_GB2312" w:cs="Times New Roman"/>
                <w:b/>
                <w:bCs/>
                <w:color w:val="000000" w:themeColor="text1"/>
                <w:sz w:val="28"/>
                <w:szCs w:val="28"/>
                <w14:textFill>
                  <w14:solidFill>
                    <w14:schemeClr w14:val="tx1"/>
                  </w14:solidFill>
                </w14:textFill>
              </w:rPr>
              <w:t>主要做法如下：</w:t>
            </w:r>
          </w:p>
          <w:p w14:paraId="489C1670">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第一，开展应用场景建设。</w:t>
            </w:r>
            <w:r>
              <w:rPr>
                <w:rFonts w:hint="default" w:ascii="Times New Roman" w:hAnsi="Times New Roman" w:eastAsia="仿宋_GB2312" w:cs="Times New Roman"/>
                <w:bCs/>
                <w:color w:val="000000" w:themeColor="text1"/>
                <w:sz w:val="28"/>
                <w:szCs w:val="28"/>
                <w14:textFill>
                  <w14:solidFill>
                    <w14:schemeClr w14:val="tx1"/>
                  </w14:solidFill>
                </w14:textFill>
              </w:rPr>
              <w:t>联合市交通委、市交管局，提出智能交通应用场景建设项目清单。与百度、京东、滴滴、千方、易华录、太极等企业对接，梳理智慧物流、拥堵治理、智慧停车、车路协同等领域应用场景项目。在中国电科太极信息产业基地等多个园区，围绕智能安防、智慧停车、智慧环境管控、智慧展示等方面打造智慧园区应用场景。</w:t>
            </w:r>
          </w:p>
          <w:p w14:paraId="3D05D330">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第二，搭建供需对接平台，建立产品首发机制，为新技术新产品拓展应用场景。</w:t>
            </w:r>
            <w:r>
              <w:rPr>
                <w:rFonts w:hint="default" w:ascii="Times New Roman" w:hAnsi="Times New Roman" w:eastAsia="仿宋_GB2312" w:cs="Times New Roman"/>
                <w:bCs/>
                <w:color w:val="000000" w:themeColor="text1"/>
                <w:sz w:val="28"/>
                <w:szCs w:val="28"/>
                <w14:textFill>
                  <w14:solidFill>
                    <w14:schemeClr w14:val="tx1"/>
                  </w14:solidFill>
                </w14:textFill>
              </w:rPr>
              <w:t>配合冬奥组委，围绕智慧场馆改造、云转播等科技冬奥重点项目，推荐百度、金山云等400余家企业500余项中关村新技术新产品。发布3批次抗击疫情新技术新产品新服务清单，涉及251家企业371项产品和服务，近百家企业的120余项技术产品达成合作意向。2019中关村论坛期间，围绕人工智能、高端装备等领域，面向全球发布了110余项最前沿的新技术新产品。</w:t>
            </w:r>
          </w:p>
          <w:p w14:paraId="4C881699">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第三，采取</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bCs/>
                <w:color w:val="000000" w:themeColor="text1"/>
                <w:sz w:val="28"/>
                <w:szCs w:val="28"/>
                <w14:textFill>
                  <w14:solidFill>
                    <w14:schemeClr w14:val="tx1"/>
                  </w14:solidFill>
                </w14:textFill>
              </w:rPr>
              <w:t>揭榜挂帅</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bCs/>
                <w:color w:val="000000" w:themeColor="text1"/>
                <w:sz w:val="28"/>
                <w:szCs w:val="28"/>
                <w14:textFill>
                  <w14:solidFill>
                    <w14:schemeClr w14:val="tx1"/>
                  </w14:solidFill>
                </w14:textFill>
              </w:rPr>
              <w:t>、举办大赛等方式，加强新技术新产品挖掘。</w:t>
            </w:r>
            <w:r>
              <w:rPr>
                <w:rFonts w:hint="default" w:ascii="Times New Roman" w:hAnsi="Times New Roman" w:eastAsia="仿宋_GB2312" w:cs="Times New Roman"/>
                <w:bCs/>
                <w:color w:val="000000" w:themeColor="text1"/>
                <w:sz w:val="28"/>
                <w:szCs w:val="28"/>
                <w14:textFill>
                  <w14:solidFill>
                    <w14:schemeClr w14:val="tx1"/>
                  </w14:solidFill>
                </w14:textFill>
              </w:rPr>
              <w:t>采取</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揭榜挂帅</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方式，鼓励企业开展同台竞技和技术产品公平比选。依托</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中关村国际前沿科技创新大赛</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新兴领域专题赛</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、科技成果转化</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火花</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活动等，围绕生物健康、5G等领域应用场景建设需求，采用打擂台的方式进行技术比武，使更优秀的技术产品脱颖而出。</w:t>
            </w:r>
          </w:p>
        </w:tc>
      </w:tr>
      <w:tr w14:paraId="1B2C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296" w:type="dxa"/>
            <w:vAlign w:val="center"/>
          </w:tcPr>
          <w:p w14:paraId="2CEACE45">
            <w:pPr>
              <w:spacing w:line="560" w:lineRule="exact"/>
              <w:jc w:val="center"/>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成都高新区——建立机会清单发布机制</w:t>
            </w:r>
          </w:p>
        </w:tc>
      </w:tr>
      <w:tr w14:paraId="6259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3" w:hRule="atLeast"/>
        </w:trPr>
        <w:tc>
          <w:tcPr>
            <w:tcW w:w="8296" w:type="dxa"/>
          </w:tcPr>
          <w:p w14:paraId="2AD76C1B">
            <w:pPr>
              <w:adjustRightInd w:val="0"/>
              <w:snapToGrid w:val="0"/>
              <w:spacing w:line="560" w:lineRule="exact"/>
              <w:ind w:firstLine="560" w:firstLineChars="20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t>作为新经济发展的重要力量，许多新经济企业在发展中存在供需不平衡、信息不对称等行业痛点。为解决市场机会与新经济企业业务发展诉求配置不到位等问题，成都高新区以用户需求为中心，利用场景供给实现与新经济企业的合作。</w:t>
            </w:r>
            <w:r>
              <w:rPr>
                <w:rFonts w:hint="default" w:ascii="Times New Roman" w:hAnsi="Times New Roman" w:eastAsia="仿宋_GB2312" w:cs="Times New Roman"/>
                <w:b/>
                <w:bCs/>
                <w:color w:val="000000" w:themeColor="text1"/>
                <w:sz w:val="28"/>
                <w:szCs w:val="28"/>
                <w14:textFill>
                  <w14:solidFill>
                    <w14:schemeClr w14:val="tx1"/>
                  </w14:solidFill>
                </w14:textFill>
              </w:rPr>
              <w:t>主要做法如下：</w:t>
            </w:r>
          </w:p>
          <w:p w14:paraId="1CC9B541">
            <w:pPr>
              <w:adjustRightInd w:val="0"/>
              <w:snapToGrid w:val="0"/>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第一，推进特色场景建设。</w:t>
            </w:r>
            <w:r>
              <w:rPr>
                <w:rFonts w:hint="default" w:ascii="Times New Roman" w:hAnsi="Times New Roman" w:eastAsia="仿宋_GB2312" w:cs="Times New Roman"/>
                <w:bCs/>
                <w:color w:val="000000" w:themeColor="text1"/>
                <w:sz w:val="28"/>
                <w:szCs w:val="28"/>
                <w14:textFill>
                  <w14:solidFill>
                    <w14:schemeClr w14:val="tx1"/>
                  </w14:solidFill>
                </w14:textFill>
              </w:rPr>
              <w:t>成都高新区率先以人工智能为突破口，系统谋划</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AI+教育</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AI+医疗</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AI+社区</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AI+园区</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AI+政务</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五大应用场景，每年设立2亿元新经济应用场景专项资金，大力扶持新经济应用场景项目建设。</w:t>
            </w:r>
          </w:p>
          <w:p w14:paraId="6A9F832F">
            <w:pPr>
              <w:adjustRightInd w:val="0"/>
              <w:snapToGrid w:val="0"/>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第二，建立机会清单发布机制。</w:t>
            </w:r>
            <w:r>
              <w:rPr>
                <w:rFonts w:hint="default" w:ascii="Times New Roman" w:hAnsi="Times New Roman" w:eastAsia="仿宋_GB2312" w:cs="Times New Roman"/>
                <w:bCs/>
                <w:color w:val="000000" w:themeColor="text1"/>
                <w:sz w:val="28"/>
                <w:szCs w:val="28"/>
                <w14:textFill>
                  <w14:solidFill>
                    <w14:schemeClr w14:val="tx1"/>
                  </w14:solidFill>
                </w14:textFill>
              </w:rPr>
              <w:t>成都高新区在2019全球人工智能峰会上发布首批人工智能应用场景机会清单，包括需求清单和供给清单。其中，需求清单涉及教育、医疗、社区和政务等公共服务领域以及大数据、人工智能、互联网等平台建设领域的25个重点项目，预计投资规模1.5亿元，供给清单中梳理了辖区内的人工智能创新产品名录，包括小贩机器人、云端救援头盔、咕咚智能运动产品等52家企业的119项创新产品。2020年2月，成都高新区梳理形成《成都高新区新经济科技赋能新型冠状病毒感染的肺炎疫情防控应用场景城市机会清单》，向社会提供疫情防控新经济科技产品及能力供给清单，让新经济企业的高科技产品助力疫情抗击。</w:t>
            </w:r>
          </w:p>
        </w:tc>
      </w:tr>
    </w:tbl>
    <w:p w14:paraId="6386EEF8">
      <w:pPr>
        <w:widowControl/>
        <w:spacing w:after="156" w:afterLines="50" w:line="560" w:lineRule="exact"/>
        <w:rPr>
          <w:rFonts w:hint="default" w:ascii="Times New Roman" w:hAnsi="Times New Roman" w:eastAsia="仿宋_GB2312" w:cs="Times New Roman"/>
          <w:sz w:val="32"/>
        </w:rPr>
      </w:pPr>
    </w:p>
    <w:p w14:paraId="1C9B7FFC">
      <w:pPr>
        <w:pStyle w:val="25"/>
        <w:numPr>
          <w:ilvl w:val="0"/>
          <w:numId w:val="6"/>
        </w:numPr>
        <w:spacing w:before="156" w:beforeLines="50"/>
        <w:ind w:firstLineChars="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打造</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双创</w:t>
      </w:r>
      <w:r>
        <w:rPr>
          <w:rFonts w:hint="eastAsia"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升级版，推动创新创业高质量发展</w:t>
      </w:r>
    </w:p>
    <w:p w14:paraId="30C8EBBB">
      <w:pPr>
        <w:widowControl/>
        <w:spacing w:after="156" w:afterLines="50"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目前</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双创</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已进入到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打造升级版、将其引向深入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的新阶段，对全面激发龙头企业和高校院所的创新活力、促进创新资源开放共享、提升双创服务效能、培育更多高成长企业提出更高的目标要求，双创科技化趋势愈加凸显。杭州、合肥等高新区将</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双创</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作为打造新动能的重要抓手，通过打造高层次双创载体、集聚高端双创资源、提供专业双创服务，着力推动双创升级。</w:t>
      </w:r>
    </w:p>
    <w:tbl>
      <w:tblPr>
        <w:tblStyle w:val="15"/>
        <w:tblpPr w:leftFromText="180" w:rightFromText="180" w:horzAnchor="margin" w:tblpY="123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04AE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296" w:type="dxa"/>
            <w:vAlign w:val="center"/>
          </w:tcPr>
          <w:p w14:paraId="5A5C6193">
            <w:pPr>
              <w:jc w:val="center"/>
              <w:rPr>
                <w:rFonts w:hint="default" w:ascii="Times New Roman" w:hAnsi="Times New Roman" w:eastAsia="仿宋_GB2312" w:cs="Times New Roman"/>
                <w:b/>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杭州高新区——</w:t>
            </w:r>
            <w:r>
              <w:rPr>
                <w:rFonts w:hint="eastAsia" w:ascii="Times New Roman" w:hAnsi="Times New Roman" w:eastAsia="仿宋_GB2312" w:cs="Times New Roman"/>
                <w:b/>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color w:val="000000" w:themeColor="text1"/>
                <w:sz w:val="28"/>
                <w:szCs w:val="28"/>
                <w14:textFill>
                  <w14:solidFill>
                    <w14:schemeClr w14:val="tx1"/>
                  </w14:solidFill>
                </w14:textFill>
              </w:rPr>
              <w:t>大孵化器</w:t>
            </w:r>
            <w:r>
              <w:rPr>
                <w:rFonts w:hint="eastAsia" w:ascii="Times New Roman" w:hAnsi="Times New Roman" w:eastAsia="仿宋_GB2312" w:cs="Times New Roman"/>
                <w:b/>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color w:val="000000" w:themeColor="text1"/>
                <w:sz w:val="28"/>
                <w:szCs w:val="28"/>
                <w14:textFill>
                  <w14:solidFill>
                    <w14:schemeClr w14:val="tx1"/>
                  </w14:solidFill>
                </w14:textFill>
              </w:rPr>
              <w:t>助力</w:t>
            </w:r>
            <w:r>
              <w:rPr>
                <w:rFonts w:hint="eastAsia" w:ascii="Times New Roman" w:hAnsi="Times New Roman" w:eastAsia="仿宋_GB2312" w:cs="Times New Roman"/>
                <w:b/>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color w:val="000000" w:themeColor="text1"/>
                <w:sz w:val="28"/>
                <w:szCs w:val="28"/>
                <w14:textFill>
                  <w14:solidFill>
                    <w14:schemeClr w14:val="tx1"/>
                  </w14:solidFill>
                </w14:textFill>
              </w:rPr>
              <w:t>双创</w:t>
            </w:r>
            <w:r>
              <w:rPr>
                <w:rFonts w:hint="eastAsia" w:ascii="Times New Roman" w:hAnsi="Times New Roman" w:eastAsia="仿宋_GB2312" w:cs="Times New Roman"/>
                <w:b/>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color w:val="000000" w:themeColor="text1"/>
                <w:sz w:val="28"/>
                <w:szCs w:val="28"/>
                <w14:textFill>
                  <w14:solidFill>
                    <w14:schemeClr w14:val="tx1"/>
                  </w14:solidFill>
                </w14:textFill>
              </w:rPr>
              <w:t>升级</w:t>
            </w:r>
          </w:p>
        </w:tc>
      </w:tr>
      <w:tr w14:paraId="06C2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8296" w:type="dxa"/>
          </w:tcPr>
          <w:p w14:paraId="4C8FEE96">
            <w:pPr>
              <w:spacing w:line="560" w:lineRule="exact"/>
              <w:ind w:firstLine="560" w:firstLineChars="200"/>
              <w:rPr>
                <w:rFonts w:hint="default" w:ascii="Times New Roman" w:hAnsi="Times New Roman" w:eastAsia="仿宋_GB2312" w:cs="Times New Roman"/>
                <w:bCs/>
                <w:color w:val="000000" w:themeColor="text1"/>
                <w:sz w:val="28"/>
                <w:szCs w:val="28"/>
                <w:highlight w:val="yellow"/>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t>杭州高新区（滨江区）高质量打造</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双创</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升级版，提出</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滨江就是大孵化器</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战略，积极建设创新创业载体，完善创新创业链条，提供高标准创新创业服务，集聚高端人才资源，形成了强大的创新创业号召力、强力的创新创业</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磁场</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w:t>
            </w:r>
            <w:r>
              <w:rPr>
                <w:rFonts w:hint="default" w:ascii="Times New Roman" w:hAnsi="Times New Roman" w:eastAsia="仿宋_GB2312" w:cs="Times New Roman"/>
                <w:b/>
                <w:bCs/>
                <w:color w:val="000000" w:themeColor="text1"/>
                <w:sz w:val="28"/>
                <w:szCs w:val="28"/>
                <w14:textFill>
                  <w14:solidFill>
                    <w14:schemeClr w14:val="tx1"/>
                  </w14:solidFill>
                </w14:textFill>
              </w:rPr>
              <w:t>主要做法如下：</w:t>
            </w:r>
          </w:p>
          <w:p w14:paraId="3B8F23CB">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第一，实施大孵化器战略。</w:t>
            </w:r>
            <w:r>
              <w:rPr>
                <w:rFonts w:hint="default" w:ascii="Times New Roman" w:hAnsi="Times New Roman" w:eastAsia="仿宋_GB2312" w:cs="Times New Roman"/>
                <w:bCs/>
                <w:color w:val="000000" w:themeColor="text1"/>
                <w:sz w:val="28"/>
                <w:szCs w:val="28"/>
                <w14:textFill>
                  <w14:solidFill>
                    <w14:schemeClr w14:val="tx1"/>
                  </w14:solidFill>
                </w14:textFill>
              </w:rPr>
              <w:t>提出</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滨江就是大孵化器</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战略，致力于打造杭州市新经济产业、企业的输出地。将全区的物流空间更多地用于安排孵化器和高新技术企业，利用互联网技术，把相关服务延伸和扩展到整个城市内的科技企业、园区乃至其他城市，形成开放式的虚拟孵化器。搭建孵化器联谊会、众创空间联盟等平台，强化区内孵化载体、科技服务机构、创业企业的互动交流，构建双创服务资源网络。</w:t>
            </w:r>
            <w:r>
              <w:rPr>
                <w:rFonts w:hint="default" w:ascii="Times New Roman" w:hAnsi="Times New Roman" w:eastAsia="仿宋_GB2312" w:cs="Times New Roman"/>
                <w:b/>
                <w:bCs/>
                <w:color w:val="000000" w:themeColor="text1"/>
                <w:sz w:val="28"/>
                <w:szCs w:val="28"/>
                <w14:textFill>
                  <w14:solidFill>
                    <w14:schemeClr w14:val="tx1"/>
                  </w14:solidFill>
                </w14:textFill>
              </w:rPr>
              <w:t>第二，推动平台型企业裂变。</w:t>
            </w:r>
            <w:r>
              <w:rPr>
                <w:rFonts w:hint="default" w:ascii="Times New Roman" w:hAnsi="Times New Roman" w:eastAsia="仿宋_GB2312" w:cs="Times New Roman"/>
                <w:bCs/>
                <w:color w:val="000000" w:themeColor="text1"/>
                <w:sz w:val="28"/>
                <w:szCs w:val="28"/>
                <w14:textFill>
                  <w14:solidFill>
                    <w14:schemeClr w14:val="tx1"/>
                  </w14:solidFill>
                </w14:textFill>
              </w:rPr>
              <w:t>以培育创业</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新四军</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为重点，以良好的创新创业服务生态为载体，着力发掘平台型企业内部资源，形成了以</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阿里系</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浙大系</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为代表的创新创业主力军，衍生出了企加云、丁香园等一批高科技创业项目。</w:t>
            </w:r>
            <w:r>
              <w:rPr>
                <w:rFonts w:hint="default" w:ascii="Times New Roman" w:hAnsi="Times New Roman" w:eastAsia="仿宋_GB2312" w:cs="Times New Roman"/>
                <w:b/>
                <w:bCs/>
                <w:color w:val="000000" w:themeColor="text1"/>
                <w:sz w:val="28"/>
                <w:szCs w:val="28"/>
                <w14:textFill>
                  <w14:solidFill>
                    <w14:schemeClr w14:val="tx1"/>
                  </w14:solidFill>
                </w14:textFill>
              </w:rPr>
              <w:t>第三，打造创新创业集聚区。</w:t>
            </w:r>
            <w:r>
              <w:rPr>
                <w:rFonts w:hint="default" w:ascii="Times New Roman" w:hAnsi="Times New Roman" w:eastAsia="仿宋_GB2312" w:cs="Times New Roman"/>
                <w:bCs/>
                <w:color w:val="000000" w:themeColor="text1"/>
                <w:sz w:val="28"/>
                <w:szCs w:val="28"/>
                <w14:textFill>
                  <w14:solidFill>
                    <w14:schemeClr w14:val="tx1"/>
                  </w14:solidFill>
                </w14:textFill>
              </w:rPr>
              <w:t>依托阿里巴巴总部所在地和金融资源集聚发展的产业生态系统，通过建设</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众创空间</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、完善O2O服务体系、构建</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苗圃+孵化器+加速器</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孵化链条，打造高品质双创集聚区。建立完善创业扶持平台网络，通过政策支持、环境吸引、服务吸引，打造全球高端人才与资本的聚集地。以杭州师范大学为核心，将文化街区、创智平台、创业SOHO有机结合，形成兼具人文和生态意义的无界大学拓展区。</w:t>
            </w:r>
          </w:p>
        </w:tc>
      </w:tr>
      <w:tr w14:paraId="4AC4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96" w:type="dxa"/>
          </w:tcPr>
          <w:p w14:paraId="20755263">
            <w:pPr>
              <w:spacing w:line="560" w:lineRule="exact"/>
              <w:jc w:val="center"/>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合肥高新区——</w:t>
            </w:r>
            <w:r>
              <w:rPr>
                <w:rFonts w:hint="default" w:ascii="Times New Roman" w:hAnsi="Times New Roman" w:eastAsia="仿宋_GB2312" w:cs="Times New Roman"/>
                <w:b/>
                <w:sz w:val="28"/>
                <w:szCs w:val="28"/>
              </w:rPr>
              <w:t>打响</w:t>
            </w:r>
            <w:r>
              <w:rPr>
                <w:rFonts w:hint="eastAsia"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合创汇</w:t>
            </w:r>
            <w:r>
              <w:rPr>
                <w:rFonts w:hint="eastAsia"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双创服务品牌</w:t>
            </w:r>
          </w:p>
        </w:tc>
      </w:tr>
      <w:tr w14:paraId="06AB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96" w:type="dxa"/>
          </w:tcPr>
          <w:p w14:paraId="2AD10EF0">
            <w:pPr>
              <w:spacing w:line="560" w:lineRule="exact"/>
              <w:ind w:firstLine="560"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t>合肥高新区建立园区与中科大、</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中国科学院</w:t>
            </w:r>
            <w:bookmarkStart w:id="70" w:name="_GoBack"/>
            <w:bookmarkEnd w:id="70"/>
            <w:r>
              <w:rPr>
                <w:rFonts w:hint="default" w:ascii="Times New Roman" w:hAnsi="Times New Roman" w:eastAsia="仿宋_GB2312" w:cs="Times New Roman"/>
                <w:bCs/>
                <w:color w:val="000000" w:themeColor="text1"/>
                <w:sz w:val="28"/>
                <w:szCs w:val="28"/>
                <w14:textFill>
                  <w14:solidFill>
                    <w14:schemeClr w14:val="tx1"/>
                  </w14:solidFill>
                </w14:textFill>
              </w:rPr>
              <w:t>合肥物质研究院、合肥工业大学、安徽大学等高校和科研院所的常态化沟通机制，深化双创人才培养、研发创新、成果转化、平台共建等多领域合作，强化科技金融支撑，打造</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合创汇</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双创品牌，加快建设引领安徽省、示范全国的</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双创特区</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w:t>
            </w:r>
            <w:r>
              <w:rPr>
                <w:rFonts w:hint="default" w:ascii="Times New Roman" w:hAnsi="Times New Roman" w:eastAsia="仿宋_GB2312" w:cs="Times New Roman"/>
                <w:b/>
                <w:bCs/>
                <w:color w:val="000000" w:themeColor="text1"/>
                <w:sz w:val="28"/>
                <w:szCs w:val="28"/>
                <w14:textFill>
                  <w14:solidFill>
                    <w14:schemeClr w14:val="tx1"/>
                  </w14:solidFill>
                </w14:textFill>
              </w:rPr>
              <w:t>主要做法如下：</w:t>
            </w:r>
          </w:p>
          <w:p w14:paraId="7DA99BA6">
            <w:pPr>
              <w:spacing w:line="560" w:lineRule="exact"/>
              <w:ind w:firstLine="562" w:firstLineChars="20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第一，激活高校院所潜在资源。</w:t>
            </w:r>
            <w:r>
              <w:rPr>
                <w:rFonts w:hint="default" w:ascii="Times New Roman" w:hAnsi="Times New Roman" w:eastAsia="仿宋_GB2312" w:cs="Times New Roman"/>
                <w:bCs/>
                <w:color w:val="000000" w:themeColor="text1"/>
                <w:sz w:val="28"/>
                <w:szCs w:val="28"/>
                <w14:textFill>
                  <w14:solidFill>
                    <w14:schemeClr w14:val="tx1"/>
                  </w14:solidFill>
                </w14:textFill>
              </w:rPr>
              <w:t>一是建设新型研发机构，联合中科大、</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中国科学院</w:t>
            </w:r>
            <w:r>
              <w:rPr>
                <w:rFonts w:hint="default" w:ascii="Times New Roman" w:hAnsi="Times New Roman" w:eastAsia="仿宋_GB2312" w:cs="Times New Roman"/>
                <w:bCs/>
                <w:color w:val="000000" w:themeColor="text1"/>
                <w:sz w:val="28"/>
                <w:szCs w:val="28"/>
                <w14:textFill>
                  <w14:solidFill>
                    <w14:schemeClr w14:val="tx1"/>
                  </w14:solidFill>
                </w14:textFill>
              </w:rPr>
              <w:t>物质研究院等，共建中科大先研院、</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中国科学院</w:t>
            </w:r>
            <w:r>
              <w:rPr>
                <w:rFonts w:hint="default" w:ascii="Times New Roman" w:hAnsi="Times New Roman" w:eastAsia="仿宋_GB2312" w:cs="Times New Roman"/>
                <w:bCs/>
                <w:color w:val="000000" w:themeColor="text1"/>
                <w:sz w:val="28"/>
                <w:szCs w:val="28"/>
                <w14:textFill>
                  <w14:solidFill>
                    <w14:schemeClr w14:val="tx1"/>
                  </w14:solidFill>
                </w14:textFill>
              </w:rPr>
              <w:t>工研院等协同创新平台，推动产学研合作由短期松散型向长期系统型转变。实行</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三无</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事业单位管理模式，完善成果转化收益分配激励机制，提升科研人员积极性；二是搭建开放共享平台，发挥科研院所的创新资源优势，陆续建设了中安创谷技术转移孵化平台等5个国家双创示范基地公共服务平台项目，为双创企业提供技术转移、创业孵化、检验检测等服务，全面激发企业创新潜能和创业活力。</w:t>
            </w:r>
          </w:p>
          <w:p w14:paraId="07944231">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第二，优化创业孵化金融环境。</w:t>
            </w:r>
            <w:r>
              <w:rPr>
                <w:rFonts w:hint="default" w:ascii="Times New Roman" w:hAnsi="Times New Roman" w:eastAsia="仿宋_GB2312" w:cs="Times New Roman"/>
                <w:bCs/>
                <w:color w:val="000000" w:themeColor="text1"/>
                <w:sz w:val="28"/>
                <w:szCs w:val="28"/>
                <w14:textFill>
                  <w14:solidFill>
                    <w14:schemeClr w14:val="tx1"/>
                  </w14:solidFill>
                </w14:textFill>
              </w:rPr>
              <w:t>一是设立双创投资引导基金和双创孵化引导基金，前者针对企业初创期、成长期、成熟期、上市前等生命周期，后者引导有条件的众创空间、孵化器等机构发起设立各类股权投资基金；二是开展</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投贷</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投保</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联动试点，政府牵头推出科保贷、银投联贷、青创贷、创意贷、助跑贷等八大创新型金融产品，全面降低合肥中小微企业融资门槛和成本；三是引导龙头企业加速布局产业基金，重点投向产业链上下游初创企业。</w:t>
            </w:r>
          </w:p>
          <w:p w14:paraId="53B1BB30">
            <w:pPr>
              <w:spacing w:line="560" w:lineRule="exact"/>
              <w:ind w:firstLine="562"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第三，塑造区域双创品牌。</w:t>
            </w:r>
            <w:r>
              <w:rPr>
                <w:rFonts w:hint="default" w:ascii="Times New Roman" w:hAnsi="Times New Roman" w:eastAsia="仿宋_GB2312" w:cs="Times New Roman"/>
                <w:color w:val="000000" w:themeColor="text1"/>
                <w:sz w:val="28"/>
                <w:szCs w:val="28"/>
                <w14:textFill>
                  <w14:solidFill>
                    <w14:schemeClr w14:val="tx1"/>
                  </w14:solidFill>
                </w14:textFill>
              </w:rPr>
              <w:t>打造线上双创服务平台与线下双创品牌活动于一体的</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合创汇</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品牌，</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合创券</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政策通</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房源汇</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金融超市</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双创活动</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等五个线上平台自2016年启动以来，累计惠中小微企业1729家次，发生科技中介服务5110项，实现政策扶持前置、线上线下结合、企业服务精准化</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三大突破</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。自2016年以来，举办线下品牌活动15期，开设</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资本项目路演</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创业训练营</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、创新创业大赛、评选</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合创之星</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等各类活动近400场，吸引50余个路演项目、100余家投资机构、2000余位创业者参与，路演企业累计获得风险投资达2.8亿元。</w:t>
            </w:r>
          </w:p>
        </w:tc>
      </w:tr>
    </w:tbl>
    <w:p w14:paraId="71A39056">
      <w:pPr>
        <w:widowControl/>
        <w:spacing w:after="156" w:afterLines="50" w:line="560" w:lineRule="exact"/>
        <w:rPr>
          <w:rFonts w:hint="default" w:ascii="Times New Roman" w:hAnsi="Times New Roman" w:eastAsia="仿宋_GB2312" w:cs="Times New Roman"/>
          <w:sz w:val="32"/>
        </w:rPr>
      </w:pPr>
    </w:p>
    <w:p w14:paraId="67427209">
      <w:pPr>
        <w:pStyle w:val="25"/>
        <w:numPr>
          <w:ilvl w:val="0"/>
          <w:numId w:val="6"/>
        </w:numPr>
        <w:spacing w:before="156" w:beforeLines="50"/>
        <w:ind w:firstLineChars="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探索新研发模式，建设新型研发机构</w:t>
      </w:r>
    </w:p>
    <w:p w14:paraId="18E1EE17">
      <w:pPr>
        <w:widowControl/>
        <w:spacing w:after="156" w:afterLines="50"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新型研发机构不同于传统的研发组织，其主要以相对灵活的组织方式和机制设计，建立有利于科研成果潜力释放与市场需求紧密结合的新机制，实现对区域创新能力、高质量发展、内生性增长动力的有力支撑。近年来，在国家和地方层面的支持下，新型研发机构快速发展，据不完全统计，数量已经超过千家。中关村自创区、武汉东湖高新区、南京新港高新园、东莞松山湖高新区等积极引导新型研发机构建设，形成一批可复制推广的先进经验。</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533C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296" w:type="dxa"/>
          </w:tcPr>
          <w:p w14:paraId="5FF5CBE0">
            <w:pPr>
              <w:ind w:firstLine="562"/>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中关村自创区——在财政支持、体制机制上先行先试</w:t>
            </w:r>
          </w:p>
        </w:tc>
      </w:tr>
      <w:tr w14:paraId="224A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296" w:type="dxa"/>
          </w:tcPr>
          <w:p w14:paraId="177E06B5">
            <w:pPr>
              <w:spacing w:line="560" w:lineRule="exact"/>
              <w:ind w:firstLine="560"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t>2014年中关村管委会出台《中关村国家自主创新示范区产业发展资金管理办法》，以后补贴的方式支持中关村科学城高校院所建设新型产业技术研究院。同时贯彻落实《北京支持建设世界一流新型研发机构实施办法》，创新财政科技经费支持方式，对从事基础前沿研究的新型研发机构给予持续稳定的资金支持，同时对从事共性关键技术研发的新型研发机构给予一次性资金支持。中关村管委会推动新型研发机构在体制机制上进行大胆创新，如推动北京大数据研究院探索</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大学+民非+企业</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一体化模式，推动北京石墨烯技术研究院采用</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政府+企业</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的政府参股模式来激发活力。中关村新型研发机构已成为打通产学研资各环节的</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粘合剂</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w:t>
            </w:r>
          </w:p>
        </w:tc>
      </w:tr>
      <w:tr w14:paraId="625A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296" w:type="dxa"/>
          </w:tcPr>
          <w:p w14:paraId="16F48655">
            <w:pPr>
              <w:ind w:firstLine="562"/>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武汉东湖高新区——创新体制机制与建设模式</w:t>
            </w:r>
          </w:p>
        </w:tc>
      </w:tr>
      <w:tr w14:paraId="635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tcPr>
          <w:p w14:paraId="789BDC48">
            <w:pPr>
              <w:spacing w:line="560" w:lineRule="exact"/>
              <w:ind w:firstLine="560"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t>武汉东湖高新区分别于2012年、2017年出台</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黄金十条</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新黄金十条</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，推动开展国有知识产权管理制度改革试点、科技成果所有权混合所有制改革等体制机制创新突破。同时，设立</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光谷科技悬赏奖</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等，对新型研发机构提出需要解决的重大应用研究研发项目给予分阶段支持。武汉东湖高新区新型研发机构采取</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工业技术研究院</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建设模式，形成</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政府引导、企业主导、院所参与、成果共享</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特点。目前高新区成立新型研发机构近十家，集聚一批国家创新创业高端人才、开展100余项成果转化项目、孵化200多家企业。</w:t>
            </w:r>
          </w:p>
        </w:tc>
      </w:tr>
      <w:tr w14:paraId="59B1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tcPr>
          <w:p w14:paraId="050F32F1">
            <w:pPr>
              <w:spacing w:line="560" w:lineRule="exact"/>
              <w:jc w:val="center"/>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南京新港高新园——引进国内外高校院所在本地建新型研发机构</w:t>
            </w:r>
          </w:p>
        </w:tc>
      </w:tr>
      <w:tr w14:paraId="5BED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tcPr>
          <w:p w14:paraId="4B616781">
            <w:pPr>
              <w:spacing w:line="560" w:lineRule="exact"/>
              <w:ind w:firstLine="560"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t>新港高新园在江苏率先推进新型研发机构落地，早在2012年6月，与</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中国科学院</w:t>
            </w:r>
            <w:r>
              <w:rPr>
                <w:rFonts w:hint="default" w:ascii="Times New Roman" w:hAnsi="Times New Roman" w:eastAsia="仿宋_GB2312" w:cs="Times New Roman"/>
                <w:bCs/>
                <w:color w:val="000000" w:themeColor="text1"/>
                <w:sz w:val="28"/>
                <w:szCs w:val="28"/>
                <w14:textFill>
                  <w14:solidFill>
                    <w14:schemeClr w14:val="tx1"/>
                  </w14:solidFill>
                </w14:textFill>
              </w:rPr>
              <w:t>上海光机所、江苏省产业技术研究院共建南京先进激光技术研究院，形成</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研究院＋平台公司＋产业园＋投资基金</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四位一体的运营模式，成功孵化40多家企业，获批国家级专业化众创空间。新港高新园积极与仙林大学城的高校合作，共建南京大学人工智能创新研究院、南京南邮信息产业技术研究院等新型研发机构。在南京市</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两落地一融合</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政策的指引下，积极与英国曼彻斯顿大学、东北大学等高校院所协商共建近二十家新型研发机构。</w:t>
            </w:r>
          </w:p>
        </w:tc>
      </w:tr>
      <w:tr w14:paraId="428E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tcPr>
          <w:p w14:paraId="4402353B">
            <w:pPr>
              <w:spacing w:line="560" w:lineRule="exact"/>
              <w:jc w:val="center"/>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东莞松山湖高新区——加强考核、形成管理合力</w:t>
            </w:r>
          </w:p>
        </w:tc>
      </w:tr>
      <w:tr w14:paraId="2DC6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tcPr>
          <w:p w14:paraId="2C9BA130">
            <w:pPr>
              <w:spacing w:line="560" w:lineRule="exact"/>
              <w:ind w:firstLine="560"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t>高新区管委会根据新型研发机构的企业孵化能力进行计分排名，设立了一套包括孵化企业年营业收入、当年新增孵化企业数等指标的评价体系，每年开展</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新型研发机构突出贡献奖</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的评奖工作。新型研发机构管理工作由园区科技创新局主导，园区产业发展局、科技创新局和人才工作局、财政分局相互配合。同时管委会加强与东莞市科学技术局等上级政府部门联动，无论是在政策还是资金方面，已形成省市区园联合推动的局面。目前松山湖高新区与华中科技大学、北京大学、清华大学等共建了20多家新型研发机构。</w:t>
            </w:r>
          </w:p>
        </w:tc>
      </w:tr>
    </w:tbl>
    <w:p w14:paraId="003E65D9">
      <w:pPr>
        <w:widowControl/>
        <w:spacing w:after="156" w:afterLines="50" w:line="560" w:lineRule="exact"/>
        <w:rPr>
          <w:rFonts w:hint="default" w:ascii="Times New Roman" w:hAnsi="Times New Roman" w:eastAsia="仿宋_GB2312" w:cs="Times New Roman"/>
          <w:sz w:val="32"/>
        </w:rPr>
      </w:pPr>
    </w:p>
    <w:p w14:paraId="1DF3BB27">
      <w:pPr>
        <w:pStyle w:val="25"/>
        <w:numPr>
          <w:ilvl w:val="0"/>
          <w:numId w:val="6"/>
        </w:numPr>
        <w:spacing w:before="156" w:beforeLines="50"/>
        <w:ind w:firstLineChars="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重视新经济制度创新，营造宽容审慎的制度环境</w:t>
      </w:r>
    </w:p>
    <w:p w14:paraId="53A1FDDC">
      <w:pPr>
        <w:widowControl/>
        <w:spacing w:after="156" w:afterLines="50"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新经济发展具有鲜明的颠覆式创新、产业跨界发展、企业爆发式成长和改变世界的场景创新等特点。新经济产业的制度需求与传统产业领域截然不同，沿用传统的政策工具、分业监管、市场准入和产业培育手段，难以满足创新型市场主体的成长需求。因此，新经济呈现突出的</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一管就死、一放就爆</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特征。成都高新区重视新经济发展制度创新，围绕新兴产业发展、创新型市场主体发育等层面开展制度试验，充分挖掘各地瞪羚、独角兽等的制度变革需求，提供以场景创新、包容审慎监管为核心的新经济制度环境，营造宽容审慎的制度环境。</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0E03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296" w:type="dxa"/>
          </w:tcPr>
          <w:p w14:paraId="2706EB4F">
            <w:pPr>
              <w:ind w:firstLine="562"/>
              <w:jc w:val="center"/>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成都高新区——开展新经济政策和制度创新</w:t>
            </w:r>
          </w:p>
        </w:tc>
      </w:tr>
      <w:tr w14:paraId="4829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96" w:type="dxa"/>
          </w:tcPr>
          <w:p w14:paraId="45D6904E">
            <w:pPr>
              <w:spacing w:line="560" w:lineRule="exact"/>
              <w:ind w:firstLine="560" w:firstLineChars="200"/>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t>成都高新区在国家级高新区范围内率先成立新经济发展局，出台《成都高新区关于发展新经济培育新动能的若干政策》《关于深化产业培育实现高质量发展若干政策意见》，每年设立5000万元业界共治专项资金、2亿元新经济应用场景专项资金以及共计100亿元的新经济创投基金，有效满足新经济发展的制度需求和政策需求，大力支持新经济发展。</w:t>
            </w:r>
            <w:r>
              <w:rPr>
                <w:rFonts w:hint="default" w:ascii="Times New Roman" w:hAnsi="Times New Roman" w:eastAsia="仿宋_GB2312" w:cs="Times New Roman"/>
                <w:b/>
                <w:bCs/>
                <w:color w:val="000000" w:themeColor="text1"/>
                <w:sz w:val="28"/>
                <w:szCs w:val="28"/>
                <w14:textFill>
                  <w14:solidFill>
                    <w14:schemeClr w14:val="tx1"/>
                  </w14:solidFill>
                </w14:textFill>
              </w:rPr>
              <w:t>主要做法如下：</w:t>
            </w:r>
          </w:p>
          <w:p w14:paraId="1177B23C">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第一，</w:t>
            </w:r>
            <w:r>
              <w:rPr>
                <w:rFonts w:hint="default" w:ascii="Times New Roman" w:hAnsi="Times New Roman" w:eastAsia="仿宋_GB2312" w:cs="Times New Roman"/>
                <w:bCs/>
                <w:color w:val="000000" w:themeColor="text1"/>
                <w:sz w:val="28"/>
                <w:szCs w:val="28"/>
                <w14:textFill>
                  <w14:solidFill>
                    <w14:schemeClr w14:val="tx1"/>
                  </w14:solidFill>
                </w14:textFill>
              </w:rPr>
              <w:t>成立成都高新区新经济发展局，专门承担新经济研究、服务与促进的职责。</w:t>
            </w:r>
          </w:p>
          <w:p w14:paraId="2E35CDBE">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第二，</w:t>
            </w:r>
            <w:r>
              <w:rPr>
                <w:rFonts w:hint="default" w:ascii="Times New Roman" w:hAnsi="Times New Roman" w:eastAsia="仿宋_GB2312" w:cs="Times New Roman"/>
                <w:bCs/>
                <w:color w:val="000000" w:themeColor="text1"/>
                <w:sz w:val="28"/>
                <w:szCs w:val="28"/>
                <w14:textFill>
                  <w14:solidFill>
                    <w14:schemeClr w14:val="tx1"/>
                  </w14:solidFill>
                </w14:textFill>
              </w:rPr>
              <w:t>出台《成都高新区关于发展新经济培育新动能的若干政策》,全面支持新经济企业、新经济形态、新经济组织发展。</w:t>
            </w:r>
          </w:p>
          <w:p w14:paraId="71A59BFC">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第三，</w:t>
            </w:r>
            <w:r>
              <w:rPr>
                <w:rFonts w:hint="default" w:ascii="Times New Roman" w:hAnsi="Times New Roman" w:eastAsia="仿宋_GB2312" w:cs="Times New Roman"/>
                <w:bCs/>
                <w:color w:val="000000" w:themeColor="text1"/>
                <w:sz w:val="28"/>
                <w:szCs w:val="28"/>
                <w14:textFill>
                  <w14:solidFill>
                    <w14:schemeClr w14:val="tx1"/>
                  </w14:solidFill>
                </w14:textFill>
              </w:rPr>
              <w:t>成都市编制《成都市新经济行业分类指导目录（2019版）》，科学界定全市六大新经济产业形态活动范围，统一新经济行业分类标准，为成都高新区新经济企业进入市场提供标准与遵循，有效解决新经济企业的行业归属问题。</w:t>
            </w:r>
          </w:p>
          <w:p w14:paraId="32A496F7">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第四，</w:t>
            </w:r>
            <w:r>
              <w:rPr>
                <w:rFonts w:hint="default" w:ascii="Times New Roman" w:hAnsi="Times New Roman" w:eastAsia="仿宋_GB2312" w:cs="Times New Roman"/>
                <w:bCs/>
                <w:color w:val="000000" w:themeColor="text1"/>
                <w:sz w:val="28"/>
                <w:szCs w:val="28"/>
                <w14:textFill>
                  <w14:solidFill>
                    <w14:schemeClr w14:val="tx1"/>
                  </w14:solidFill>
                </w14:textFill>
              </w:rPr>
              <w:t>发布《关于深化产业培育实现高质量发展若干政策意见》，设立100亿元新经济创投基金，对新经济企业进行市场化投融资扶持；每年设立5000万元业界公治专项资金，充分赋能业界共治理事会、培育产业生态圈；每年设立2亿元新经济应用场景专项资金，推广新技术新产品应用示范。</w:t>
            </w:r>
          </w:p>
        </w:tc>
      </w:tr>
    </w:tbl>
    <w:p w14:paraId="4F59FBD3">
      <w:pPr>
        <w:widowControl/>
        <w:spacing w:after="156" w:afterLines="50" w:line="560" w:lineRule="exact"/>
        <w:rPr>
          <w:rFonts w:hint="default" w:ascii="Times New Roman" w:hAnsi="Times New Roman" w:eastAsia="仿宋_GB2312" w:cs="Times New Roman"/>
          <w:sz w:val="32"/>
        </w:rPr>
      </w:pPr>
    </w:p>
    <w:p w14:paraId="1295FB25">
      <w:pPr>
        <w:pStyle w:val="25"/>
        <w:numPr>
          <w:ilvl w:val="0"/>
          <w:numId w:val="6"/>
        </w:numPr>
        <w:spacing w:before="156" w:beforeLines="50"/>
        <w:ind w:firstLineChars="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重视新基建部署，加快集聚新经济资源与要素</w:t>
      </w:r>
    </w:p>
    <w:p w14:paraId="44C44994">
      <w:pPr>
        <w:widowControl/>
        <w:spacing w:after="156" w:afterLines="50"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新基建是新经济、新业态的基础设施，泛在、高性能、低使用成本的新型基础设施将会极大降低新技术、新模式创新创业的门槛和技术难度，可以在短时间内激发大量的创新和就业机会，加快集聚新经济高端资源与要素，构建支撑中国经济新动能的基础网络。西安高新区紧抓国家加大新型基础设施建设投资的机遇，加快</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新基建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部署，抢占新经济竞争的制高点。</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14:paraId="4FCB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296" w:type="dxa"/>
          </w:tcPr>
          <w:p w14:paraId="1611D37A">
            <w:pPr>
              <w:jc w:val="center"/>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color w:val="000000" w:themeColor="text1"/>
                <w:sz w:val="28"/>
                <w:szCs w:val="28"/>
                <w14:textFill>
                  <w14:solidFill>
                    <w14:schemeClr w14:val="tx1"/>
                  </w14:solidFill>
                </w14:textFill>
              </w:rPr>
              <w:t>西安高新区——发布新基建三年计划</w:t>
            </w:r>
          </w:p>
        </w:tc>
      </w:tr>
      <w:tr w14:paraId="11B7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8296" w:type="dxa"/>
          </w:tcPr>
          <w:p w14:paraId="1963EACB">
            <w:pPr>
              <w:spacing w:line="560" w:lineRule="exact"/>
              <w:ind w:firstLine="560"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Cs/>
                <w:color w:val="000000" w:themeColor="text1"/>
                <w:sz w:val="28"/>
                <w:szCs w:val="28"/>
                <w14:textFill>
                  <w14:solidFill>
                    <w14:schemeClr w14:val="tx1"/>
                  </w14:solidFill>
                </w14:textFill>
              </w:rPr>
              <w:t>2020年5月，西安高新区发布《</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新基建</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三年行动计划》，为高新区发展</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新基建</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给出了时间表、绘就了路线图、明确了任务单，提出布局85个重大</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新基建</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建设项目，总投资1150亿元。</w:t>
            </w:r>
          </w:p>
          <w:p w14:paraId="3910F617">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加大现代基础设施配套投资。</w:t>
            </w:r>
            <w:r>
              <w:rPr>
                <w:rFonts w:hint="default" w:ascii="Times New Roman" w:hAnsi="Times New Roman" w:eastAsia="仿宋_GB2312" w:cs="Times New Roman"/>
                <w:bCs/>
                <w:color w:val="000000" w:themeColor="text1"/>
                <w:sz w:val="28"/>
                <w:szCs w:val="28"/>
                <w14:textFill>
                  <w14:solidFill>
                    <w14:schemeClr w14:val="tx1"/>
                  </w14:solidFill>
                </w14:textFill>
              </w:rPr>
              <w:t>打造综合性轨道交通体系，补齐城市道路交通建设短板，做大做强特高压产业，推进特高压产业智能化发展，推动医疗卫生体系建设及生物医药产业发展。</w:t>
            </w:r>
          </w:p>
          <w:p w14:paraId="70A3A6C2">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加快数字基础设施建设投资。</w:t>
            </w:r>
            <w:r>
              <w:rPr>
                <w:rFonts w:hint="default" w:ascii="Times New Roman" w:hAnsi="Times New Roman" w:eastAsia="仿宋_GB2312" w:cs="Times New Roman"/>
                <w:bCs/>
                <w:color w:val="000000" w:themeColor="text1"/>
                <w:sz w:val="28"/>
                <w:szCs w:val="28"/>
                <w14:textFill>
                  <w14:solidFill>
                    <w14:schemeClr w14:val="tx1"/>
                  </w14:solidFill>
                </w14:textFill>
              </w:rPr>
              <w:t>加快布局5G产业发展，提速大数据中心建设，促进数字经济发展壮大，加快工业互联网应用推广，建设新一代人工智能试验区核心区，加快布局创新基础设施。</w:t>
            </w:r>
          </w:p>
          <w:p w14:paraId="4BD8DDE6">
            <w:pPr>
              <w:spacing w:line="560" w:lineRule="exact"/>
              <w:ind w:firstLine="562" w:firstLineChars="200"/>
              <w:rPr>
                <w:rFonts w:hint="default" w:ascii="Times New Roman" w:hAnsi="Times New Roman" w:eastAsia="仿宋_GB2312" w:cs="Times New Roman"/>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此外，</w:t>
            </w:r>
            <w:r>
              <w:rPr>
                <w:rFonts w:hint="default" w:ascii="Times New Roman" w:hAnsi="Times New Roman" w:eastAsia="仿宋_GB2312" w:cs="Times New Roman"/>
                <w:bCs/>
                <w:color w:val="000000" w:themeColor="text1"/>
                <w:sz w:val="28"/>
                <w:szCs w:val="28"/>
                <w14:textFill>
                  <w14:solidFill>
                    <w14:schemeClr w14:val="tx1"/>
                  </w14:solidFill>
                </w14:textFill>
              </w:rPr>
              <w:t>高新区围绕人工智能、5G、工业互联网、大数据、轨道交通、特高压等新基建重点领域，联合区内120余家行业龙头企业、高校和科研机构，发起成立了</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人工智能产业联盟</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工业互联网产业联盟</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5G产业生态联盟</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轨道交通产业联盟</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大数据产业联盟</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新能源汽车充电产业联盟</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特高压产业联盟</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等</w:t>
            </w:r>
            <w:r>
              <w:rPr>
                <w:rFonts w:hint="default" w:ascii="Times New Roman" w:hAnsi="Times New Roman" w:eastAsia="仿宋_GB2312" w:cs="Times New Roman"/>
                <w:b/>
                <w:bCs/>
                <w:color w:val="000000" w:themeColor="text1"/>
                <w:sz w:val="28"/>
                <w:szCs w:val="28"/>
                <w14:textFill>
                  <w14:solidFill>
                    <w14:schemeClr w14:val="tx1"/>
                  </w14:solidFill>
                </w14:textFill>
              </w:rPr>
              <w:t>7个</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bCs/>
                <w:color w:val="000000" w:themeColor="text1"/>
                <w:sz w:val="28"/>
                <w:szCs w:val="28"/>
                <w14:textFill>
                  <w14:solidFill>
                    <w14:schemeClr w14:val="tx1"/>
                  </w14:solidFill>
                </w14:textFill>
              </w:rPr>
              <w:t>新基建</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
                <w:bCs/>
                <w:color w:val="000000" w:themeColor="text1"/>
                <w:sz w:val="28"/>
                <w:szCs w:val="28"/>
                <w14:textFill>
                  <w14:solidFill>
                    <w14:schemeClr w14:val="tx1"/>
                  </w14:solidFill>
                </w14:textFill>
              </w:rPr>
              <w:t>重点领域联盟</w:t>
            </w:r>
            <w:r>
              <w:rPr>
                <w:rFonts w:hint="default" w:ascii="Times New Roman" w:hAnsi="Times New Roman" w:eastAsia="仿宋_GB2312" w:cs="Times New Roman"/>
                <w:bCs/>
                <w:color w:val="000000" w:themeColor="text1"/>
                <w:sz w:val="28"/>
                <w:szCs w:val="28"/>
                <w14:textFill>
                  <w14:solidFill>
                    <w14:schemeClr w14:val="tx1"/>
                  </w14:solidFill>
                </w14:textFill>
              </w:rPr>
              <w:t>，积极借力联盟作用，动员广泛的社会市场力量共同参与</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新基建</w:t>
            </w:r>
            <w:r>
              <w:rPr>
                <w:rFonts w:hint="eastAsia" w:ascii="Times New Roman" w:hAnsi="Times New Roman" w:eastAsia="仿宋_GB2312" w:cs="Times New Roman"/>
                <w:bCs/>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bCs/>
                <w:color w:val="000000" w:themeColor="text1"/>
                <w:sz w:val="28"/>
                <w:szCs w:val="28"/>
                <w14:textFill>
                  <w14:solidFill>
                    <w14:schemeClr w14:val="tx1"/>
                  </w14:solidFill>
                </w14:textFill>
              </w:rPr>
              <w:t>建设。</w:t>
            </w:r>
          </w:p>
        </w:tc>
      </w:tr>
    </w:tbl>
    <w:p w14:paraId="34080A6B">
      <w:pPr>
        <w:widowControl/>
        <w:spacing w:after="156" w:afterLines="50" w:line="560" w:lineRule="exact"/>
        <w:rPr>
          <w:rFonts w:hint="default" w:ascii="Times New Roman" w:hAnsi="Times New Roman" w:eastAsia="仿宋_GB2312" w:cs="Times New Roman"/>
          <w:sz w:val="32"/>
        </w:rPr>
      </w:pPr>
    </w:p>
    <w:p w14:paraId="32BDAC52">
      <w:pPr>
        <w:pStyle w:val="12"/>
        <w:jc w:val="left"/>
        <w:rPr>
          <w:rFonts w:hint="default" w:ascii="Times New Roman" w:hAnsi="Times New Roman" w:cs="Times New Roman"/>
          <w:b w:val="0"/>
        </w:rPr>
      </w:pPr>
      <w:r>
        <w:rPr>
          <w:rFonts w:hint="default" w:ascii="Times New Roman" w:hAnsi="Times New Roman" w:cs="Times New Roman"/>
          <w:b w:val="0"/>
        </w:rPr>
        <w:br w:type="page"/>
      </w:r>
    </w:p>
    <w:p w14:paraId="7FF616CF">
      <w:pPr>
        <w:pStyle w:val="12"/>
        <w:jc w:val="left"/>
        <w:rPr>
          <w:rFonts w:hint="default" w:ascii="Times New Roman" w:hAnsi="Times New Roman" w:cs="Times New Roman"/>
          <w:b w:val="0"/>
        </w:rPr>
      </w:pPr>
      <w:bookmarkStart w:id="69" w:name="_Toc67935943"/>
      <w:r>
        <w:rPr>
          <w:rFonts w:hint="default" w:ascii="Times New Roman" w:hAnsi="Times New Roman" w:cs="Times New Roman"/>
          <w:b w:val="0"/>
        </w:rPr>
        <w:t>附录4：需提请市委市政府支持事项</w:t>
      </w:r>
      <w:bookmarkEnd w:id="69"/>
    </w:p>
    <w:p w14:paraId="56AEF303">
      <w:pPr>
        <w:pStyle w:val="25"/>
        <w:numPr>
          <w:ilvl w:val="0"/>
          <w:numId w:val="7"/>
        </w:numPr>
        <w:ind w:firstLineChars="0"/>
        <w:rPr>
          <w:rFonts w:hint="default" w:ascii="Times New Roman" w:hAnsi="Times New Roman" w:eastAsia="楷体_GB2312" w:cs="Times New Roman"/>
          <w:b/>
          <w:sz w:val="32"/>
        </w:rPr>
      </w:pPr>
      <w:r>
        <w:rPr>
          <w:rFonts w:hint="default" w:ascii="Times New Roman" w:hAnsi="Times New Roman" w:eastAsia="楷体_GB2312" w:cs="Times New Roman"/>
          <w:b/>
          <w:sz w:val="32"/>
        </w:rPr>
        <w:t>关于加大财政支持力度问题</w:t>
      </w:r>
    </w:p>
    <w:p w14:paraId="188D929D">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目前，高新区发展面临可用财力不足的瓶颈。一方面，与排名接近的国家高新区相比，财政收入总量较少，财力支撑不足；另一方面，省财政对高新区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上解返还60%</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的政策于2017年到期，市政府对高新区从2018年起新增上解1亿元，导致高新区本级可用财力占一般公共预算收入的比重从2016年的93.3%下降到2018年的69.7%。受减税降费政策影响,2019年高新区一般公共预算收入明显下滑，下一步实行开发区整合后，高新区可用财力不足的情况预计将更加突出。现恳请市委、市政府加大对高新区的财税支持力度，优化高新区财政体制。</w:t>
      </w:r>
    </w:p>
    <w:p w14:paraId="7A8ED33D">
      <w:pPr>
        <w:rPr>
          <w:rFonts w:hint="default" w:ascii="Times New Roman" w:hAnsi="Times New Roman" w:eastAsia="仿宋_GB2312" w:cs="Times New Roman"/>
          <w:sz w:val="32"/>
        </w:rPr>
      </w:pPr>
    </w:p>
    <w:p w14:paraId="1C491D6A">
      <w:pPr>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drawing>
          <wp:inline distT="0" distB="0" distL="0" distR="0">
            <wp:extent cx="4805045" cy="2232660"/>
            <wp:effectExtent l="0" t="0" r="1460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495783">
      <w:pPr>
        <w:spacing w:line="560" w:lineRule="exact"/>
        <w:jc w:val="center"/>
        <w:rPr>
          <w:rFonts w:hint="default" w:ascii="Times New Roman" w:hAnsi="Times New Roman" w:eastAsia="仿宋_GB2312" w:cs="Times New Roman"/>
          <w:b/>
          <w:sz w:val="28"/>
        </w:rPr>
      </w:pPr>
      <w:r>
        <w:rPr>
          <w:rFonts w:hint="default" w:ascii="Times New Roman" w:hAnsi="Times New Roman" w:eastAsia="仿宋_GB2312" w:cs="Times New Roman"/>
          <w:b/>
          <w:sz w:val="28"/>
        </w:rPr>
        <w:t>图2 部分国家高新区2019年财政收入情况</w:t>
      </w:r>
    </w:p>
    <w:p w14:paraId="285B2ECF">
      <w:pPr>
        <w:spacing w:line="560" w:lineRule="exact"/>
        <w:jc w:val="center"/>
        <w:rPr>
          <w:rFonts w:hint="default" w:ascii="Times New Roman" w:hAnsi="Times New Roman" w:eastAsia="仿宋_GB2312" w:cs="Times New Roman"/>
          <w:b/>
          <w:sz w:val="28"/>
        </w:rPr>
      </w:pPr>
    </w:p>
    <w:p w14:paraId="7338E124">
      <w:pPr>
        <w:adjustRightInd w:val="0"/>
        <w:snapToGrid w:val="0"/>
        <w:jc w:val="center"/>
        <w:rPr>
          <w:rFonts w:hint="default" w:ascii="Times New Roman" w:hAnsi="Times New Roman" w:eastAsia="仿宋_GB2312" w:cs="Times New Roman"/>
          <w:b/>
          <w:sz w:val="28"/>
        </w:rPr>
      </w:pPr>
      <w:r>
        <w:rPr>
          <w:rFonts w:hint="default" w:ascii="Times New Roman" w:hAnsi="Times New Roman" w:eastAsia="仿宋_GB2312" w:cs="Times New Roman"/>
          <w:b/>
          <w:sz w:val="28"/>
        </w:rPr>
        <w:drawing>
          <wp:inline distT="0" distB="0" distL="0" distR="0">
            <wp:extent cx="4486275" cy="2404110"/>
            <wp:effectExtent l="0" t="0" r="9525" b="1524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364CF9">
      <w:pPr>
        <w:spacing w:after="156" w:afterLines="50" w:line="560" w:lineRule="exact"/>
        <w:jc w:val="center"/>
        <w:rPr>
          <w:rFonts w:hint="default" w:ascii="Times New Roman" w:hAnsi="Times New Roman" w:eastAsia="仿宋_GB2312" w:cs="Times New Roman"/>
          <w:b/>
          <w:sz w:val="28"/>
        </w:rPr>
      </w:pPr>
      <w:r>
        <w:rPr>
          <w:rFonts w:hint="default" w:ascii="Times New Roman" w:hAnsi="Times New Roman" w:eastAsia="仿宋_GB2312" w:cs="Times New Roman"/>
          <w:b/>
          <w:sz w:val="28"/>
        </w:rPr>
        <w:t>图3 玉溪高新区本级可用财力情况</w:t>
      </w:r>
    </w:p>
    <w:p w14:paraId="4B1FBDF6">
      <w:pPr>
        <w:pStyle w:val="25"/>
        <w:numPr>
          <w:ilvl w:val="0"/>
          <w:numId w:val="7"/>
        </w:numPr>
        <w:ind w:firstLineChars="0"/>
        <w:rPr>
          <w:rFonts w:hint="default" w:ascii="Times New Roman" w:hAnsi="Times New Roman" w:eastAsia="楷体_GB2312" w:cs="Times New Roman"/>
          <w:b/>
          <w:sz w:val="32"/>
        </w:rPr>
      </w:pPr>
      <w:r>
        <w:rPr>
          <w:rFonts w:hint="default" w:ascii="Times New Roman" w:hAnsi="Times New Roman" w:eastAsia="楷体_GB2312" w:cs="Times New Roman"/>
          <w:b/>
          <w:sz w:val="32"/>
        </w:rPr>
        <w:t>关于高新区土地指标单列问题</w:t>
      </w:r>
    </w:p>
    <w:p w14:paraId="04D30372">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高新区发展面临用地指标不足的瓶颈。一方面，高新区用地指标需玉溪市、红塔区两级协调，另一方面，自2016年起高新区没有新增用地指标，制约了高新区开发建设、产业发展、项目布局。现恳请市委、市政府对高新区新增建设用地指标给予倾斜，实行市级单列。</w:t>
      </w:r>
    </w:p>
    <w:p w14:paraId="69D82903">
      <w:pPr>
        <w:jc w:val="center"/>
        <w:rPr>
          <w:rFonts w:hint="default" w:ascii="Times New Roman" w:hAnsi="Times New Roman" w:eastAsia="仿宋_GB2312" w:cs="Times New Roman"/>
          <w:b/>
          <w:sz w:val="28"/>
        </w:rPr>
      </w:pPr>
      <w:r>
        <w:rPr>
          <w:rFonts w:hint="default" w:ascii="Times New Roman" w:hAnsi="Times New Roman" w:eastAsia="仿宋_GB2312" w:cs="Times New Roman"/>
          <w:b/>
          <w:sz w:val="28"/>
        </w:rPr>
        <w:t>表6 部分国家高新区用地指标单列情况</w:t>
      </w:r>
    </w:p>
    <w:tbl>
      <w:tblPr>
        <w:tblStyle w:val="15"/>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75"/>
        <w:gridCol w:w="3827"/>
        <w:gridCol w:w="3584"/>
      </w:tblGrid>
      <w:tr w14:paraId="1506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blHeader/>
          <w:jc w:val="center"/>
        </w:trPr>
        <w:tc>
          <w:tcPr>
            <w:tcW w:w="688" w:type="dxa"/>
            <w:vAlign w:val="center"/>
          </w:tcPr>
          <w:p w14:paraId="207BA8DB">
            <w:pPr>
              <w:adjustRightInd w:val="0"/>
              <w:snapToGrid w:val="0"/>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序号</w:t>
            </w:r>
          </w:p>
        </w:tc>
        <w:tc>
          <w:tcPr>
            <w:tcW w:w="1575" w:type="dxa"/>
            <w:vAlign w:val="center"/>
          </w:tcPr>
          <w:p w14:paraId="644B783B">
            <w:pPr>
              <w:adjustRightInd w:val="0"/>
              <w:snapToGrid w:val="0"/>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国家高新区</w:t>
            </w:r>
          </w:p>
        </w:tc>
        <w:tc>
          <w:tcPr>
            <w:tcW w:w="3827" w:type="dxa"/>
            <w:vAlign w:val="center"/>
          </w:tcPr>
          <w:p w14:paraId="2AEDA91A">
            <w:pPr>
              <w:adjustRightInd w:val="0"/>
              <w:snapToGrid w:val="0"/>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支持政策</w:t>
            </w:r>
          </w:p>
        </w:tc>
        <w:tc>
          <w:tcPr>
            <w:tcW w:w="3584" w:type="dxa"/>
            <w:vAlign w:val="center"/>
          </w:tcPr>
          <w:p w14:paraId="5576E9B5">
            <w:pPr>
              <w:adjustRightInd w:val="0"/>
              <w:snapToGrid w:val="0"/>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政策内容</w:t>
            </w:r>
          </w:p>
        </w:tc>
      </w:tr>
      <w:tr w14:paraId="57AB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688" w:type="dxa"/>
            <w:vAlign w:val="center"/>
          </w:tcPr>
          <w:p w14:paraId="3F988DD0">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575" w:type="dxa"/>
            <w:vAlign w:val="center"/>
          </w:tcPr>
          <w:p w14:paraId="0973DB1A">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西安高新区</w:t>
            </w:r>
          </w:p>
        </w:tc>
        <w:tc>
          <w:tcPr>
            <w:tcW w:w="3827" w:type="dxa"/>
            <w:vAlign w:val="center"/>
          </w:tcPr>
          <w:p w14:paraId="6127A6BC">
            <w:pPr>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《陕西省人民政府关于支持西安高新区建设世界一流科技园区的若干意见》（陕政发[2008]30号）</w:t>
            </w:r>
          </w:p>
        </w:tc>
        <w:tc>
          <w:tcPr>
            <w:tcW w:w="3584" w:type="dxa"/>
            <w:vAlign w:val="center"/>
          </w:tcPr>
          <w:p w14:paraId="7945CBD9">
            <w:pPr>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按照经济贡献和土地供应大体同比的原则，省政府在西安市的计划内单列西安高新区建设用地计划，实行审批直通车制度。</w:t>
            </w:r>
          </w:p>
        </w:tc>
      </w:tr>
      <w:tr w14:paraId="2E1D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88" w:type="dxa"/>
            <w:vAlign w:val="center"/>
          </w:tcPr>
          <w:p w14:paraId="6B4CBCD1">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575" w:type="dxa"/>
            <w:vAlign w:val="center"/>
          </w:tcPr>
          <w:p w14:paraId="1A20C8C1">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洛阳高新区</w:t>
            </w:r>
          </w:p>
        </w:tc>
        <w:tc>
          <w:tcPr>
            <w:tcW w:w="3827" w:type="dxa"/>
            <w:vAlign w:val="center"/>
          </w:tcPr>
          <w:p w14:paraId="39B42979">
            <w:pPr>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洛阳市2019年12月27日下发《关于积极推进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三区</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融合实现高新区高质量发展的意见》</w:t>
            </w:r>
          </w:p>
        </w:tc>
        <w:tc>
          <w:tcPr>
            <w:tcW w:w="3584" w:type="dxa"/>
            <w:vAlign w:val="center"/>
          </w:tcPr>
          <w:p w14:paraId="421F442F">
            <w:pPr>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对高新区新增建设用地指标给予倾斜，实行市级单列</w:t>
            </w:r>
          </w:p>
        </w:tc>
      </w:tr>
      <w:tr w14:paraId="0DB1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88" w:type="dxa"/>
            <w:vAlign w:val="center"/>
          </w:tcPr>
          <w:p w14:paraId="3F393646">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575" w:type="dxa"/>
            <w:vAlign w:val="center"/>
          </w:tcPr>
          <w:p w14:paraId="0FCB968C">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哈尔滨高新区</w:t>
            </w:r>
          </w:p>
        </w:tc>
        <w:tc>
          <w:tcPr>
            <w:tcW w:w="3827" w:type="dxa"/>
            <w:vAlign w:val="center"/>
          </w:tcPr>
          <w:p w14:paraId="0C6CB239">
            <w:pPr>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《关于支持哈尔滨科技创新城和哈南工业新城发展的若干意见》（哈发[2010]2号）</w:t>
            </w:r>
          </w:p>
        </w:tc>
        <w:tc>
          <w:tcPr>
            <w:tcW w:w="3584" w:type="dxa"/>
            <w:vAlign w:val="center"/>
          </w:tcPr>
          <w:p w14:paraId="485BEC5E">
            <w:pPr>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哈高新区和哈经开区分别设立土地收储中心，用地计划指标单列</w:t>
            </w:r>
          </w:p>
        </w:tc>
      </w:tr>
      <w:tr w14:paraId="619A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88" w:type="dxa"/>
            <w:vAlign w:val="center"/>
          </w:tcPr>
          <w:p w14:paraId="151E7016">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575" w:type="dxa"/>
            <w:vAlign w:val="center"/>
          </w:tcPr>
          <w:p w14:paraId="3594B388">
            <w:pPr>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宝鸡高新区</w:t>
            </w:r>
          </w:p>
        </w:tc>
        <w:tc>
          <w:tcPr>
            <w:tcW w:w="3827" w:type="dxa"/>
            <w:vAlign w:val="center"/>
          </w:tcPr>
          <w:p w14:paraId="038FFE97">
            <w:pPr>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《陕西省人民政府关于支持宝鸡加快建设关中—天水经济区副中心城市的意见》（陕政发[2011]53号）</w:t>
            </w:r>
          </w:p>
        </w:tc>
        <w:tc>
          <w:tcPr>
            <w:tcW w:w="3584" w:type="dxa"/>
            <w:vAlign w:val="center"/>
          </w:tcPr>
          <w:p w14:paraId="2AD0C065">
            <w:pPr>
              <w:adjustRightInd w:val="0"/>
              <w:snapToGrid w:val="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对宝鸡高新区建设用地在宝鸡市计划内单列，予以重点支持</w:t>
            </w:r>
          </w:p>
        </w:tc>
      </w:tr>
    </w:tbl>
    <w:p w14:paraId="5905B8A6">
      <w:pPr>
        <w:rPr>
          <w:rFonts w:hint="default" w:ascii="Times New Roman" w:hAnsi="Times New Roman" w:eastAsia="楷体_GB2312" w:cs="Times New Roman"/>
          <w:b/>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A40F">
    <w:pPr>
      <w:pStyle w:val="8"/>
      <w:jc w:val="center"/>
    </w:pPr>
  </w:p>
  <w:p w14:paraId="4361C50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6207667"/>
    </w:sdtPr>
    <w:sdtContent>
      <w:p w14:paraId="471A9662">
        <w:pPr>
          <w:pStyle w:val="8"/>
          <w:jc w:val="center"/>
        </w:pPr>
        <w:r>
          <w:fldChar w:fldCharType="begin"/>
        </w:r>
        <w:r>
          <w:instrText xml:space="preserve">PAGE   \* MERGEFORMAT</w:instrText>
        </w:r>
        <w:r>
          <w:fldChar w:fldCharType="separate"/>
        </w:r>
        <w:r>
          <w:rPr>
            <w:lang w:val="zh-CN"/>
          </w:rPr>
          <w:t>II</w:t>
        </w:r>
        <w:r>
          <w:fldChar w:fldCharType="end"/>
        </w:r>
      </w:p>
    </w:sdtContent>
  </w:sdt>
  <w:p w14:paraId="474C920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6982436"/>
    </w:sdtPr>
    <w:sdtContent>
      <w:p w14:paraId="6DBEBA83">
        <w:pPr>
          <w:pStyle w:val="8"/>
          <w:jc w:val="center"/>
        </w:pPr>
        <w:r>
          <w:fldChar w:fldCharType="begin"/>
        </w:r>
        <w:r>
          <w:instrText xml:space="preserve">PAGE   \* MERGEFORMAT</w:instrText>
        </w:r>
        <w:r>
          <w:fldChar w:fldCharType="separate"/>
        </w:r>
        <w:r>
          <w:rPr>
            <w:lang w:val="zh-CN"/>
          </w:rPr>
          <w:t>49</w:t>
        </w:r>
        <w:r>
          <w:fldChar w:fldCharType="end"/>
        </w:r>
      </w:p>
    </w:sdtContent>
  </w:sdt>
  <w:p w14:paraId="613E351C">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71C6A"/>
    <w:multiLevelType w:val="multilevel"/>
    <w:tmpl w:val="06371C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6A52EB"/>
    <w:multiLevelType w:val="multilevel"/>
    <w:tmpl w:val="2E6A52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2254149"/>
    <w:multiLevelType w:val="multilevel"/>
    <w:tmpl w:val="4225414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455012A"/>
    <w:multiLevelType w:val="multilevel"/>
    <w:tmpl w:val="5455012A"/>
    <w:lvl w:ilvl="0" w:tentative="0">
      <w:start w:val="1"/>
      <w:numFmt w:val="decimal"/>
      <w:lvlText w:val="%1)"/>
      <w:lvlJc w:val="left"/>
      <w:pPr>
        <w:ind w:left="113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C3E7B43"/>
    <w:multiLevelType w:val="multilevel"/>
    <w:tmpl w:val="5C3E7B43"/>
    <w:lvl w:ilvl="0" w:tentative="0">
      <w:start w:val="1"/>
      <w:numFmt w:val="decimal"/>
      <w:lvlText w:val="%1)"/>
      <w:lvlJc w:val="left"/>
      <w:pPr>
        <w:ind w:left="113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21C0556"/>
    <w:multiLevelType w:val="multilevel"/>
    <w:tmpl w:val="621C0556"/>
    <w:lvl w:ilvl="0" w:tentative="0">
      <w:start w:val="1"/>
      <w:numFmt w:val="decimal"/>
      <w:lvlText w:val="%1)"/>
      <w:lvlJc w:val="left"/>
      <w:pPr>
        <w:ind w:left="1137" w:hanging="420"/>
      </w:pPr>
    </w:lvl>
    <w:lvl w:ilvl="1" w:tentative="0">
      <w:start w:val="1"/>
      <w:numFmt w:val="lowerLetter"/>
      <w:lvlText w:val="%2)"/>
      <w:lvlJc w:val="left"/>
      <w:pPr>
        <w:ind w:left="1557" w:hanging="420"/>
      </w:pPr>
    </w:lvl>
    <w:lvl w:ilvl="2" w:tentative="0">
      <w:start w:val="1"/>
      <w:numFmt w:val="lowerRoman"/>
      <w:lvlText w:val="%3."/>
      <w:lvlJc w:val="right"/>
      <w:pPr>
        <w:ind w:left="1977" w:hanging="420"/>
      </w:pPr>
    </w:lvl>
    <w:lvl w:ilvl="3" w:tentative="0">
      <w:start w:val="1"/>
      <w:numFmt w:val="decimal"/>
      <w:lvlText w:val="%4."/>
      <w:lvlJc w:val="left"/>
      <w:pPr>
        <w:ind w:left="2397" w:hanging="420"/>
      </w:pPr>
    </w:lvl>
    <w:lvl w:ilvl="4" w:tentative="0">
      <w:start w:val="1"/>
      <w:numFmt w:val="lowerLetter"/>
      <w:lvlText w:val="%5)"/>
      <w:lvlJc w:val="left"/>
      <w:pPr>
        <w:ind w:left="2817" w:hanging="420"/>
      </w:pPr>
    </w:lvl>
    <w:lvl w:ilvl="5" w:tentative="0">
      <w:start w:val="1"/>
      <w:numFmt w:val="lowerRoman"/>
      <w:lvlText w:val="%6."/>
      <w:lvlJc w:val="right"/>
      <w:pPr>
        <w:ind w:left="3237" w:hanging="420"/>
      </w:pPr>
    </w:lvl>
    <w:lvl w:ilvl="6" w:tentative="0">
      <w:start w:val="1"/>
      <w:numFmt w:val="decimal"/>
      <w:lvlText w:val="%7."/>
      <w:lvlJc w:val="left"/>
      <w:pPr>
        <w:ind w:left="3657" w:hanging="420"/>
      </w:pPr>
    </w:lvl>
    <w:lvl w:ilvl="7" w:tentative="0">
      <w:start w:val="1"/>
      <w:numFmt w:val="lowerLetter"/>
      <w:lvlText w:val="%8)"/>
      <w:lvlJc w:val="left"/>
      <w:pPr>
        <w:ind w:left="4077" w:hanging="420"/>
      </w:pPr>
    </w:lvl>
    <w:lvl w:ilvl="8" w:tentative="0">
      <w:start w:val="1"/>
      <w:numFmt w:val="lowerRoman"/>
      <w:lvlText w:val="%9."/>
      <w:lvlJc w:val="right"/>
      <w:pPr>
        <w:ind w:left="4497" w:hanging="420"/>
      </w:pPr>
    </w:lvl>
  </w:abstractNum>
  <w:abstractNum w:abstractNumId="6">
    <w:nsid w:val="7C051B83"/>
    <w:multiLevelType w:val="multilevel"/>
    <w:tmpl w:val="7C051B8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mNzFhNTE2ODA4NWNjMzY3MDUyM2Q1MGJjODVmODYifQ=="/>
  </w:docVars>
  <w:rsids>
    <w:rsidRoot w:val="00020C40"/>
    <w:rsid w:val="0000164D"/>
    <w:rsid w:val="000018E7"/>
    <w:rsid w:val="00001F3C"/>
    <w:rsid w:val="00002BE7"/>
    <w:rsid w:val="00002C67"/>
    <w:rsid w:val="00003F61"/>
    <w:rsid w:val="000045A3"/>
    <w:rsid w:val="0000499C"/>
    <w:rsid w:val="00004C2B"/>
    <w:rsid w:val="00005246"/>
    <w:rsid w:val="00007C1F"/>
    <w:rsid w:val="00007C63"/>
    <w:rsid w:val="00007F65"/>
    <w:rsid w:val="00010546"/>
    <w:rsid w:val="00010841"/>
    <w:rsid w:val="00011594"/>
    <w:rsid w:val="00013B97"/>
    <w:rsid w:val="00013BFC"/>
    <w:rsid w:val="000141BD"/>
    <w:rsid w:val="000149C6"/>
    <w:rsid w:val="0001712A"/>
    <w:rsid w:val="000173F8"/>
    <w:rsid w:val="000179FF"/>
    <w:rsid w:val="00020BF3"/>
    <w:rsid w:val="00020C40"/>
    <w:rsid w:val="0002198C"/>
    <w:rsid w:val="0002214E"/>
    <w:rsid w:val="000237F7"/>
    <w:rsid w:val="000238E7"/>
    <w:rsid w:val="00023C8A"/>
    <w:rsid w:val="00025022"/>
    <w:rsid w:val="00025C04"/>
    <w:rsid w:val="00032EB3"/>
    <w:rsid w:val="00035848"/>
    <w:rsid w:val="00035D23"/>
    <w:rsid w:val="00037266"/>
    <w:rsid w:val="00037A01"/>
    <w:rsid w:val="00037F81"/>
    <w:rsid w:val="00040AE1"/>
    <w:rsid w:val="000412E4"/>
    <w:rsid w:val="000414FD"/>
    <w:rsid w:val="00041B91"/>
    <w:rsid w:val="00042639"/>
    <w:rsid w:val="0004274E"/>
    <w:rsid w:val="00042BBA"/>
    <w:rsid w:val="00043CFF"/>
    <w:rsid w:val="00044EA4"/>
    <w:rsid w:val="0004543A"/>
    <w:rsid w:val="00045B45"/>
    <w:rsid w:val="00045D0F"/>
    <w:rsid w:val="00045F94"/>
    <w:rsid w:val="0004619B"/>
    <w:rsid w:val="00046B65"/>
    <w:rsid w:val="00047E1D"/>
    <w:rsid w:val="000503BC"/>
    <w:rsid w:val="00051CD6"/>
    <w:rsid w:val="00052BAD"/>
    <w:rsid w:val="00053F5D"/>
    <w:rsid w:val="00054CAE"/>
    <w:rsid w:val="00054CEF"/>
    <w:rsid w:val="00054E87"/>
    <w:rsid w:val="00060040"/>
    <w:rsid w:val="00060355"/>
    <w:rsid w:val="0006302E"/>
    <w:rsid w:val="0006363D"/>
    <w:rsid w:val="00063C5A"/>
    <w:rsid w:val="0006470B"/>
    <w:rsid w:val="00065581"/>
    <w:rsid w:val="00065E37"/>
    <w:rsid w:val="00066B27"/>
    <w:rsid w:val="00067A5E"/>
    <w:rsid w:val="00070195"/>
    <w:rsid w:val="000701D7"/>
    <w:rsid w:val="0007088B"/>
    <w:rsid w:val="00070995"/>
    <w:rsid w:val="00071207"/>
    <w:rsid w:val="0007219C"/>
    <w:rsid w:val="00073B2F"/>
    <w:rsid w:val="000747E0"/>
    <w:rsid w:val="000756D8"/>
    <w:rsid w:val="00075952"/>
    <w:rsid w:val="000762A1"/>
    <w:rsid w:val="00077DAF"/>
    <w:rsid w:val="00080DB8"/>
    <w:rsid w:val="0008532E"/>
    <w:rsid w:val="00085702"/>
    <w:rsid w:val="00091969"/>
    <w:rsid w:val="00091B3B"/>
    <w:rsid w:val="000929E1"/>
    <w:rsid w:val="000937BC"/>
    <w:rsid w:val="00093F3E"/>
    <w:rsid w:val="00094BAF"/>
    <w:rsid w:val="00094DA6"/>
    <w:rsid w:val="00097348"/>
    <w:rsid w:val="000974CD"/>
    <w:rsid w:val="000A0431"/>
    <w:rsid w:val="000A1D07"/>
    <w:rsid w:val="000A2141"/>
    <w:rsid w:val="000A300B"/>
    <w:rsid w:val="000A33DD"/>
    <w:rsid w:val="000A37B8"/>
    <w:rsid w:val="000A4413"/>
    <w:rsid w:val="000A446D"/>
    <w:rsid w:val="000A4E0F"/>
    <w:rsid w:val="000A6B11"/>
    <w:rsid w:val="000A73DD"/>
    <w:rsid w:val="000A7870"/>
    <w:rsid w:val="000B10FF"/>
    <w:rsid w:val="000B1F00"/>
    <w:rsid w:val="000B3542"/>
    <w:rsid w:val="000B37D3"/>
    <w:rsid w:val="000B52CD"/>
    <w:rsid w:val="000B5C07"/>
    <w:rsid w:val="000B6B2F"/>
    <w:rsid w:val="000B7523"/>
    <w:rsid w:val="000C0418"/>
    <w:rsid w:val="000C275A"/>
    <w:rsid w:val="000C293B"/>
    <w:rsid w:val="000C41AC"/>
    <w:rsid w:val="000C4889"/>
    <w:rsid w:val="000C4E92"/>
    <w:rsid w:val="000C4EEA"/>
    <w:rsid w:val="000C5F0D"/>
    <w:rsid w:val="000C5F57"/>
    <w:rsid w:val="000C6833"/>
    <w:rsid w:val="000C7AAA"/>
    <w:rsid w:val="000D07F1"/>
    <w:rsid w:val="000D0C36"/>
    <w:rsid w:val="000D1065"/>
    <w:rsid w:val="000D2003"/>
    <w:rsid w:val="000D2015"/>
    <w:rsid w:val="000D4AA5"/>
    <w:rsid w:val="000D4B7E"/>
    <w:rsid w:val="000D5184"/>
    <w:rsid w:val="000D5AB4"/>
    <w:rsid w:val="000D6FB0"/>
    <w:rsid w:val="000E136F"/>
    <w:rsid w:val="000E329F"/>
    <w:rsid w:val="000E4022"/>
    <w:rsid w:val="000E42DB"/>
    <w:rsid w:val="000E4C96"/>
    <w:rsid w:val="000E4F26"/>
    <w:rsid w:val="000E5B0F"/>
    <w:rsid w:val="000E5F40"/>
    <w:rsid w:val="000E657B"/>
    <w:rsid w:val="000E70B5"/>
    <w:rsid w:val="000F0A2D"/>
    <w:rsid w:val="000F1978"/>
    <w:rsid w:val="000F1CD0"/>
    <w:rsid w:val="000F336E"/>
    <w:rsid w:val="000F3A0D"/>
    <w:rsid w:val="000F4048"/>
    <w:rsid w:val="000F508B"/>
    <w:rsid w:val="000F51F6"/>
    <w:rsid w:val="000F742E"/>
    <w:rsid w:val="00101D0B"/>
    <w:rsid w:val="001026F7"/>
    <w:rsid w:val="00102D7E"/>
    <w:rsid w:val="00104382"/>
    <w:rsid w:val="001047CB"/>
    <w:rsid w:val="00105740"/>
    <w:rsid w:val="001060D1"/>
    <w:rsid w:val="0010797F"/>
    <w:rsid w:val="00107E6B"/>
    <w:rsid w:val="00111791"/>
    <w:rsid w:val="00112FF7"/>
    <w:rsid w:val="00113455"/>
    <w:rsid w:val="00113977"/>
    <w:rsid w:val="00113CD5"/>
    <w:rsid w:val="00114A84"/>
    <w:rsid w:val="0011560C"/>
    <w:rsid w:val="00115A14"/>
    <w:rsid w:val="001204F0"/>
    <w:rsid w:val="00121101"/>
    <w:rsid w:val="00122901"/>
    <w:rsid w:val="00123A99"/>
    <w:rsid w:val="00124736"/>
    <w:rsid w:val="00124A33"/>
    <w:rsid w:val="0012548B"/>
    <w:rsid w:val="00125554"/>
    <w:rsid w:val="00125B78"/>
    <w:rsid w:val="00127117"/>
    <w:rsid w:val="001305A8"/>
    <w:rsid w:val="00131026"/>
    <w:rsid w:val="0013187C"/>
    <w:rsid w:val="00132584"/>
    <w:rsid w:val="001327A0"/>
    <w:rsid w:val="0013391C"/>
    <w:rsid w:val="00134071"/>
    <w:rsid w:val="001360CF"/>
    <w:rsid w:val="001372F8"/>
    <w:rsid w:val="00137811"/>
    <w:rsid w:val="00140ED7"/>
    <w:rsid w:val="00142003"/>
    <w:rsid w:val="001422DB"/>
    <w:rsid w:val="00142791"/>
    <w:rsid w:val="00144AD0"/>
    <w:rsid w:val="00144B38"/>
    <w:rsid w:val="00145CDE"/>
    <w:rsid w:val="00145D64"/>
    <w:rsid w:val="00146CEE"/>
    <w:rsid w:val="0015012F"/>
    <w:rsid w:val="00150DC2"/>
    <w:rsid w:val="00151F12"/>
    <w:rsid w:val="00152A60"/>
    <w:rsid w:val="00154BB7"/>
    <w:rsid w:val="001559E3"/>
    <w:rsid w:val="00156A04"/>
    <w:rsid w:val="00156B98"/>
    <w:rsid w:val="00160827"/>
    <w:rsid w:val="00160C55"/>
    <w:rsid w:val="00160DA1"/>
    <w:rsid w:val="00160DCB"/>
    <w:rsid w:val="00160F10"/>
    <w:rsid w:val="00161AFA"/>
    <w:rsid w:val="00162AAA"/>
    <w:rsid w:val="0016322D"/>
    <w:rsid w:val="00163FE9"/>
    <w:rsid w:val="00164544"/>
    <w:rsid w:val="0016493A"/>
    <w:rsid w:val="00164B8A"/>
    <w:rsid w:val="00166E7C"/>
    <w:rsid w:val="0016700B"/>
    <w:rsid w:val="00167373"/>
    <w:rsid w:val="0016766A"/>
    <w:rsid w:val="001700EF"/>
    <w:rsid w:val="00170107"/>
    <w:rsid w:val="0017023C"/>
    <w:rsid w:val="001721CB"/>
    <w:rsid w:val="0017267D"/>
    <w:rsid w:val="001751D0"/>
    <w:rsid w:val="001768D6"/>
    <w:rsid w:val="00176C5A"/>
    <w:rsid w:val="00176F30"/>
    <w:rsid w:val="0018020E"/>
    <w:rsid w:val="001805CC"/>
    <w:rsid w:val="001817D7"/>
    <w:rsid w:val="00181DD1"/>
    <w:rsid w:val="00182220"/>
    <w:rsid w:val="00183CB2"/>
    <w:rsid w:val="00184C80"/>
    <w:rsid w:val="00184DF0"/>
    <w:rsid w:val="0018630E"/>
    <w:rsid w:val="0018638E"/>
    <w:rsid w:val="00187145"/>
    <w:rsid w:val="00187781"/>
    <w:rsid w:val="001914D7"/>
    <w:rsid w:val="00191B4B"/>
    <w:rsid w:val="00191D0F"/>
    <w:rsid w:val="00193D5F"/>
    <w:rsid w:val="00193DBE"/>
    <w:rsid w:val="00194AEF"/>
    <w:rsid w:val="0019568C"/>
    <w:rsid w:val="001963A0"/>
    <w:rsid w:val="00196A6C"/>
    <w:rsid w:val="001A0D84"/>
    <w:rsid w:val="001A18D2"/>
    <w:rsid w:val="001A1EE1"/>
    <w:rsid w:val="001A249B"/>
    <w:rsid w:val="001A3255"/>
    <w:rsid w:val="001A4B3A"/>
    <w:rsid w:val="001A5719"/>
    <w:rsid w:val="001A6EC9"/>
    <w:rsid w:val="001A701A"/>
    <w:rsid w:val="001A7E5F"/>
    <w:rsid w:val="001B07D8"/>
    <w:rsid w:val="001B0DC5"/>
    <w:rsid w:val="001B15A6"/>
    <w:rsid w:val="001B20CB"/>
    <w:rsid w:val="001B3371"/>
    <w:rsid w:val="001B3C57"/>
    <w:rsid w:val="001B5614"/>
    <w:rsid w:val="001B5981"/>
    <w:rsid w:val="001B724D"/>
    <w:rsid w:val="001B7DEB"/>
    <w:rsid w:val="001C0A6A"/>
    <w:rsid w:val="001C0B70"/>
    <w:rsid w:val="001C0F5E"/>
    <w:rsid w:val="001C1E96"/>
    <w:rsid w:val="001C277E"/>
    <w:rsid w:val="001C2F1F"/>
    <w:rsid w:val="001C3A41"/>
    <w:rsid w:val="001C76EC"/>
    <w:rsid w:val="001C7C68"/>
    <w:rsid w:val="001D0464"/>
    <w:rsid w:val="001D0CD6"/>
    <w:rsid w:val="001D0EAB"/>
    <w:rsid w:val="001D11BC"/>
    <w:rsid w:val="001D1832"/>
    <w:rsid w:val="001D1A6A"/>
    <w:rsid w:val="001D1A71"/>
    <w:rsid w:val="001D1E2E"/>
    <w:rsid w:val="001D1E98"/>
    <w:rsid w:val="001D36F7"/>
    <w:rsid w:val="001D3D45"/>
    <w:rsid w:val="001D3FDD"/>
    <w:rsid w:val="001D4363"/>
    <w:rsid w:val="001D4C0F"/>
    <w:rsid w:val="001D5A7A"/>
    <w:rsid w:val="001D744A"/>
    <w:rsid w:val="001D7EEE"/>
    <w:rsid w:val="001D7FED"/>
    <w:rsid w:val="001E230E"/>
    <w:rsid w:val="001E2534"/>
    <w:rsid w:val="001E2C67"/>
    <w:rsid w:val="001E36F1"/>
    <w:rsid w:val="001E4C95"/>
    <w:rsid w:val="001E5B40"/>
    <w:rsid w:val="001E60F2"/>
    <w:rsid w:val="001E684B"/>
    <w:rsid w:val="001E7AA6"/>
    <w:rsid w:val="001F0855"/>
    <w:rsid w:val="001F1C8D"/>
    <w:rsid w:val="001F22FD"/>
    <w:rsid w:val="001F2336"/>
    <w:rsid w:val="001F2BB3"/>
    <w:rsid w:val="001F3077"/>
    <w:rsid w:val="001F3C8F"/>
    <w:rsid w:val="001F78C7"/>
    <w:rsid w:val="00201F8D"/>
    <w:rsid w:val="002025ED"/>
    <w:rsid w:val="002030FF"/>
    <w:rsid w:val="002036C9"/>
    <w:rsid w:val="00204498"/>
    <w:rsid w:val="00205258"/>
    <w:rsid w:val="00206FE4"/>
    <w:rsid w:val="00207338"/>
    <w:rsid w:val="00207589"/>
    <w:rsid w:val="0020760E"/>
    <w:rsid w:val="00207836"/>
    <w:rsid w:val="00210B77"/>
    <w:rsid w:val="00211805"/>
    <w:rsid w:val="00212044"/>
    <w:rsid w:val="002129D4"/>
    <w:rsid w:val="00215606"/>
    <w:rsid w:val="00215F58"/>
    <w:rsid w:val="002162CA"/>
    <w:rsid w:val="0021630C"/>
    <w:rsid w:val="00216FFE"/>
    <w:rsid w:val="002170B7"/>
    <w:rsid w:val="002215F3"/>
    <w:rsid w:val="00221E0B"/>
    <w:rsid w:val="002234A3"/>
    <w:rsid w:val="0022352F"/>
    <w:rsid w:val="00223BB9"/>
    <w:rsid w:val="00223BCD"/>
    <w:rsid w:val="00223C3A"/>
    <w:rsid w:val="00224387"/>
    <w:rsid w:val="002258F4"/>
    <w:rsid w:val="00225942"/>
    <w:rsid w:val="00225D3E"/>
    <w:rsid w:val="00226168"/>
    <w:rsid w:val="00226C11"/>
    <w:rsid w:val="002306EA"/>
    <w:rsid w:val="00231DA7"/>
    <w:rsid w:val="00232124"/>
    <w:rsid w:val="0023228A"/>
    <w:rsid w:val="00233ADC"/>
    <w:rsid w:val="00235464"/>
    <w:rsid w:val="00235617"/>
    <w:rsid w:val="002359D0"/>
    <w:rsid w:val="00235CA5"/>
    <w:rsid w:val="00235E79"/>
    <w:rsid w:val="0024041B"/>
    <w:rsid w:val="00241C96"/>
    <w:rsid w:val="00244865"/>
    <w:rsid w:val="00246E9D"/>
    <w:rsid w:val="00251A05"/>
    <w:rsid w:val="00251E7B"/>
    <w:rsid w:val="00255ACD"/>
    <w:rsid w:val="00256325"/>
    <w:rsid w:val="00256F4C"/>
    <w:rsid w:val="002573FB"/>
    <w:rsid w:val="002601A1"/>
    <w:rsid w:val="002606BB"/>
    <w:rsid w:val="00261319"/>
    <w:rsid w:val="002634A4"/>
    <w:rsid w:val="002637FB"/>
    <w:rsid w:val="00264BFD"/>
    <w:rsid w:val="0026560D"/>
    <w:rsid w:val="0026610E"/>
    <w:rsid w:val="00266E84"/>
    <w:rsid w:val="00267AF5"/>
    <w:rsid w:val="0027021B"/>
    <w:rsid w:val="002709D8"/>
    <w:rsid w:val="002721D9"/>
    <w:rsid w:val="002727CF"/>
    <w:rsid w:val="00272922"/>
    <w:rsid w:val="002733A8"/>
    <w:rsid w:val="00273CAF"/>
    <w:rsid w:val="00273EF5"/>
    <w:rsid w:val="002749B7"/>
    <w:rsid w:val="0028306A"/>
    <w:rsid w:val="002831C0"/>
    <w:rsid w:val="0028335E"/>
    <w:rsid w:val="002838DE"/>
    <w:rsid w:val="002866F0"/>
    <w:rsid w:val="0028710E"/>
    <w:rsid w:val="002901E6"/>
    <w:rsid w:val="002904F6"/>
    <w:rsid w:val="00290F55"/>
    <w:rsid w:val="002966FF"/>
    <w:rsid w:val="002971A6"/>
    <w:rsid w:val="002978BB"/>
    <w:rsid w:val="002A075B"/>
    <w:rsid w:val="002A2A98"/>
    <w:rsid w:val="002A2CB0"/>
    <w:rsid w:val="002A2DCA"/>
    <w:rsid w:val="002A31DD"/>
    <w:rsid w:val="002A33F1"/>
    <w:rsid w:val="002A36E4"/>
    <w:rsid w:val="002A3962"/>
    <w:rsid w:val="002A454D"/>
    <w:rsid w:val="002A46D0"/>
    <w:rsid w:val="002A4D19"/>
    <w:rsid w:val="002A5FDB"/>
    <w:rsid w:val="002A7032"/>
    <w:rsid w:val="002A7BEC"/>
    <w:rsid w:val="002B017C"/>
    <w:rsid w:val="002B36DE"/>
    <w:rsid w:val="002B428B"/>
    <w:rsid w:val="002B5C94"/>
    <w:rsid w:val="002B6003"/>
    <w:rsid w:val="002B6595"/>
    <w:rsid w:val="002B66F6"/>
    <w:rsid w:val="002B7B91"/>
    <w:rsid w:val="002C07A2"/>
    <w:rsid w:val="002C30EF"/>
    <w:rsid w:val="002C4470"/>
    <w:rsid w:val="002C4A9B"/>
    <w:rsid w:val="002C4DAD"/>
    <w:rsid w:val="002C5395"/>
    <w:rsid w:val="002C6648"/>
    <w:rsid w:val="002D0471"/>
    <w:rsid w:val="002D066E"/>
    <w:rsid w:val="002D0AAE"/>
    <w:rsid w:val="002D130A"/>
    <w:rsid w:val="002D25E4"/>
    <w:rsid w:val="002D2B1E"/>
    <w:rsid w:val="002D2F02"/>
    <w:rsid w:val="002D47E1"/>
    <w:rsid w:val="002D523F"/>
    <w:rsid w:val="002D655B"/>
    <w:rsid w:val="002D7123"/>
    <w:rsid w:val="002E06C0"/>
    <w:rsid w:val="002E0D09"/>
    <w:rsid w:val="002E12EF"/>
    <w:rsid w:val="002E182E"/>
    <w:rsid w:val="002E49C9"/>
    <w:rsid w:val="002E5E64"/>
    <w:rsid w:val="002E7E23"/>
    <w:rsid w:val="002F269C"/>
    <w:rsid w:val="002F297D"/>
    <w:rsid w:val="002F3C42"/>
    <w:rsid w:val="002F4ABB"/>
    <w:rsid w:val="002F4DA3"/>
    <w:rsid w:val="002F5070"/>
    <w:rsid w:val="002F5C8A"/>
    <w:rsid w:val="002F66AD"/>
    <w:rsid w:val="002F6F2D"/>
    <w:rsid w:val="00300595"/>
    <w:rsid w:val="00300C6E"/>
    <w:rsid w:val="00302AFF"/>
    <w:rsid w:val="0030305F"/>
    <w:rsid w:val="00303259"/>
    <w:rsid w:val="00303454"/>
    <w:rsid w:val="003041F4"/>
    <w:rsid w:val="00304BA9"/>
    <w:rsid w:val="003056E3"/>
    <w:rsid w:val="003059A8"/>
    <w:rsid w:val="00305B0E"/>
    <w:rsid w:val="0030664D"/>
    <w:rsid w:val="00307B39"/>
    <w:rsid w:val="00307E60"/>
    <w:rsid w:val="00307F90"/>
    <w:rsid w:val="00310752"/>
    <w:rsid w:val="00310776"/>
    <w:rsid w:val="003128C0"/>
    <w:rsid w:val="003129F1"/>
    <w:rsid w:val="0031394C"/>
    <w:rsid w:val="0031702C"/>
    <w:rsid w:val="003204B1"/>
    <w:rsid w:val="00321183"/>
    <w:rsid w:val="00322955"/>
    <w:rsid w:val="003235F3"/>
    <w:rsid w:val="00324A3D"/>
    <w:rsid w:val="00324A80"/>
    <w:rsid w:val="003257AA"/>
    <w:rsid w:val="0032641B"/>
    <w:rsid w:val="00327069"/>
    <w:rsid w:val="003270B5"/>
    <w:rsid w:val="003277CA"/>
    <w:rsid w:val="00330876"/>
    <w:rsid w:val="00330971"/>
    <w:rsid w:val="00330C82"/>
    <w:rsid w:val="00333066"/>
    <w:rsid w:val="0033498A"/>
    <w:rsid w:val="00334AE3"/>
    <w:rsid w:val="00334F27"/>
    <w:rsid w:val="00336535"/>
    <w:rsid w:val="003379B6"/>
    <w:rsid w:val="003409B1"/>
    <w:rsid w:val="00340E8D"/>
    <w:rsid w:val="003414D0"/>
    <w:rsid w:val="0034204E"/>
    <w:rsid w:val="00342707"/>
    <w:rsid w:val="0034299C"/>
    <w:rsid w:val="00342ADE"/>
    <w:rsid w:val="003436F4"/>
    <w:rsid w:val="0034505F"/>
    <w:rsid w:val="003458D3"/>
    <w:rsid w:val="003463ED"/>
    <w:rsid w:val="0034753C"/>
    <w:rsid w:val="00350478"/>
    <w:rsid w:val="00352FB3"/>
    <w:rsid w:val="003539B2"/>
    <w:rsid w:val="00354677"/>
    <w:rsid w:val="003559E0"/>
    <w:rsid w:val="00355D40"/>
    <w:rsid w:val="0035745A"/>
    <w:rsid w:val="00357A62"/>
    <w:rsid w:val="003608F2"/>
    <w:rsid w:val="003631EA"/>
    <w:rsid w:val="00363607"/>
    <w:rsid w:val="00363DA6"/>
    <w:rsid w:val="00364271"/>
    <w:rsid w:val="0036430B"/>
    <w:rsid w:val="00364AA1"/>
    <w:rsid w:val="003658E1"/>
    <w:rsid w:val="00367688"/>
    <w:rsid w:val="003677A5"/>
    <w:rsid w:val="00370C3A"/>
    <w:rsid w:val="00370D52"/>
    <w:rsid w:val="003716C1"/>
    <w:rsid w:val="00371B82"/>
    <w:rsid w:val="003735DA"/>
    <w:rsid w:val="00374532"/>
    <w:rsid w:val="0037509A"/>
    <w:rsid w:val="00375F71"/>
    <w:rsid w:val="00377596"/>
    <w:rsid w:val="00380852"/>
    <w:rsid w:val="003825DB"/>
    <w:rsid w:val="00382FB2"/>
    <w:rsid w:val="003832FC"/>
    <w:rsid w:val="00383D7F"/>
    <w:rsid w:val="00384B5C"/>
    <w:rsid w:val="0038544F"/>
    <w:rsid w:val="00385757"/>
    <w:rsid w:val="00386C49"/>
    <w:rsid w:val="00387722"/>
    <w:rsid w:val="0038789D"/>
    <w:rsid w:val="003878B2"/>
    <w:rsid w:val="00390AB8"/>
    <w:rsid w:val="003913CE"/>
    <w:rsid w:val="00392F3C"/>
    <w:rsid w:val="003940C9"/>
    <w:rsid w:val="003940CD"/>
    <w:rsid w:val="00394A50"/>
    <w:rsid w:val="00394B97"/>
    <w:rsid w:val="003978AF"/>
    <w:rsid w:val="003A035B"/>
    <w:rsid w:val="003A0654"/>
    <w:rsid w:val="003A1796"/>
    <w:rsid w:val="003A2C6E"/>
    <w:rsid w:val="003A32ED"/>
    <w:rsid w:val="003A3E00"/>
    <w:rsid w:val="003A40B8"/>
    <w:rsid w:val="003A4873"/>
    <w:rsid w:val="003B225B"/>
    <w:rsid w:val="003B34F6"/>
    <w:rsid w:val="003B36B8"/>
    <w:rsid w:val="003B3A96"/>
    <w:rsid w:val="003C2361"/>
    <w:rsid w:val="003C2450"/>
    <w:rsid w:val="003C25C7"/>
    <w:rsid w:val="003C6F3B"/>
    <w:rsid w:val="003C7623"/>
    <w:rsid w:val="003C7B1C"/>
    <w:rsid w:val="003C7D41"/>
    <w:rsid w:val="003D1B67"/>
    <w:rsid w:val="003D1E9D"/>
    <w:rsid w:val="003D401C"/>
    <w:rsid w:val="003D4D07"/>
    <w:rsid w:val="003D4D9B"/>
    <w:rsid w:val="003D6155"/>
    <w:rsid w:val="003D69E6"/>
    <w:rsid w:val="003D6B21"/>
    <w:rsid w:val="003D702E"/>
    <w:rsid w:val="003E034F"/>
    <w:rsid w:val="003E0B0F"/>
    <w:rsid w:val="003E0CFE"/>
    <w:rsid w:val="003E16A4"/>
    <w:rsid w:val="003E1F54"/>
    <w:rsid w:val="003E229C"/>
    <w:rsid w:val="003E285E"/>
    <w:rsid w:val="003E411A"/>
    <w:rsid w:val="003E4124"/>
    <w:rsid w:val="003E468A"/>
    <w:rsid w:val="003E624A"/>
    <w:rsid w:val="003E67A7"/>
    <w:rsid w:val="003E762C"/>
    <w:rsid w:val="003F1726"/>
    <w:rsid w:val="003F26A9"/>
    <w:rsid w:val="003F2D8E"/>
    <w:rsid w:val="003F4732"/>
    <w:rsid w:val="003F51D3"/>
    <w:rsid w:val="003F64E8"/>
    <w:rsid w:val="003F6557"/>
    <w:rsid w:val="003F72A0"/>
    <w:rsid w:val="003F7FB2"/>
    <w:rsid w:val="00400BB8"/>
    <w:rsid w:val="00400CF6"/>
    <w:rsid w:val="00401526"/>
    <w:rsid w:val="00401AE3"/>
    <w:rsid w:val="0040270C"/>
    <w:rsid w:val="00402DF6"/>
    <w:rsid w:val="004034EB"/>
    <w:rsid w:val="00403DA6"/>
    <w:rsid w:val="00404C57"/>
    <w:rsid w:val="004057E6"/>
    <w:rsid w:val="00405F24"/>
    <w:rsid w:val="004105FB"/>
    <w:rsid w:val="00413937"/>
    <w:rsid w:val="00414537"/>
    <w:rsid w:val="0041548B"/>
    <w:rsid w:val="00415512"/>
    <w:rsid w:val="00415C69"/>
    <w:rsid w:val="004160D7"/>
    <w:rsid w:val="00416291"/>
    <w:rsid w:val="00417DFA"/>
    <w:rsid w:val="00420316"/>
    <w:rsid w:val="0042185D"/>
    <w:rsid w:val="00421A31"/>
    <w:rsid w:val="00421D07"/>
    <w:rsid w:val="00423428"/>
    <w:rsid w:val="00423596"/>
    <w:rsid w:val="00423AFC"/>
    <w:rsid w:val="00424FED"/>
    <w:rsid w:val="00425B08"/>
    <w:rsid w:val="0043031F"/>
    <w:rsid w:val="00431554"/>
    <w:rsid w:val="00433A31"/>
    <w:rsid w:val="00435289"/>
    <w:rsid w:val="004358CF"/>
    <w:rsid w:val="004363EE"/>
    <w:rsid w:val="004364BE"/>
    <w:rsid w:val="00437297"/>
    <w:rsid w:val="004377AD"/>
    <w:rsid w:val="00440309"/>
    <w:rsid w:val="00440C4D"/>
    <w:rsid w:val="00440EC0"/>
    <w:rsid w:val="00441879"/>
    <w:rsid w:val="0044246D"/>
    <w:rsid w:val="0044277B"/>
    <w:rsid w:val="00442E5D"/>
    <w:rsid w:val="00443BF7"/>
    <w:rsid w:val="00444532"/>
    <w:rsid w:val="00444872"/>
    <w:rsid w:val="00444A44"/>
    <w:rsid w:val="004454C8"/>
    <w:rsid w:val="0044552D"/>
    <w:rsid w:val="004456F3"/>
    <w:rsid w:val="00446E57"/>
    <w:rsid w:val="004473DC"/>
    <w:rsid w:val="00447948"/>
    <w:rsid w:val="00447B15"/>
    <w:rsid w:val="00447DF8"/>
    <w:rsid w:val="00450029"/>
    <w:rsid w:val="00452222"/>
    <w:rsid w:val="00452CDB"/>
    <w:rsid w:val="004530E6"/>
    <w:rsid w:val="004548E0"/>
    <w:rsid w:val="00454E33"/>
    <w:rsid w:val="00457C73"/>
    <w:rsid w:val="004609EC"/>
    <w:rsid w:val="00460EF9"/>
    <w:rsid w:val="00462475"/>
    <w:rsid w:val="00462869"/>
    <w:rsid w:val="004631F5"/>
    <w:rsid w:val="00463D54"/>
    <w:rsid w:val="00464224"/>
    <w:rsid w:val="00464686"/>
    <w:rsid w:val="00465AD0"/>
    <w:rsid w:val="00465B80"/>
    <w:rsid w:val="00466173"/>
    <w:rsid w:val="00466C78"/>
    <w:rsid w:val="00467BF8"/>
    <w:rsid w:val="0047093E"/>
    <w:rsid w:val="00470EED"/>
    <w:rsid w:val="00472D48"/>
    <w:rsid w:val="00472F49"/>
    <w:rsid w:val="004744B3"/>
    <w:rsid w:val="0047496F"/>
    <w:rsid w:val="00475C74"/>
    <w:rsid w:val="00476124"/>
    <w:rsid w:val="004761E5"/>
    <w:rsid w:val="004809F2"/>
    <w:rsid w:val="00480E5F"/>
    <w:rsid w:val="00482235"/>
    <w:rsid w:val="004824B8"/>
    <w:rsid w:val="00482D58"/>
    <w:rsid w:val="00482FC2"/>
    <w:rsid w:val="00483079"/>
    <w:rsid w:val="00483711"/>
    <w:rsid w:val="00483C5D"/>
    <w:rsid w:val="0048416F"/>
    <w:rsid w:val="004847F8"/>
    <w:rsid w:val="0048573A"/>
    <w:rsid w:val="00486921"/>
    <w:rsid w:val="00486D81"/>
    <w:rsid w:val="00490977"/>
    <w:rsid w:val="00491916"/>
    <w:rsid w:val="004933C6"/>
    <w:rsid w:val="00493B94"/>
    <w:rsid w:val="004947FE"/>
    <w:rsid w:val="00495CDE"/>
    <w:rsid w:val="00495DCC"/>
    <w:rsid w:val="00495FEB"/>
    <w:rsid w:val="00496407"/>
    <w:rsid w:val="00496FBF"/>
    <w:rsid w:val="004A115F"/>
    <w:rsid w:val="004A13B5"/>
    <w:rsid w:val="004A1896"/>
    <w:rsid w:val="004A1BE8"/>
    <w:rsid w:val="004A2634"/>
    <w:rsid w:val="004A2709"/>
    <w:rsid w:val="004A3676"/>
    <w:rsid w:val="004A3990"/>
    <w:rsid w:val="004A56F2"/>
    <w:rsid w:val="004A597B"/>
    <w:rsid w:val="004A5D9C"/>
    <w:rsid w:val="004B241C"/>
    <w:rsid w:val="004B41A6"/>
    <w:rsid w:val="004B48EB"/>
    <w:rsid w:val="004B4CED"/>
    <w:rsid w:val="004B5BCA"/>
    <w:rsid w:val="004B696B"/>
    <w:rsid w:val="004B76B0"/>
    <w:rsid w:val="004C1D34"/>
    <w:rsid w:val="004C3D7F"/>
    <w:rsid w:val="004C4A11"/>
    <w:rsid w:val="004C6547"/>
    <w:rsid w:val="004C6939"/>
    <w:rsid w:val="004C6C3C"/>
    <w:rsid w:val="004C6F65"/>
    <w:rsid w:val="004C7532"/>
    <w:rsid w:val="004D05B3"/>
    <w:rsid w:val="004D1F2C"/>
    <w:rsid w:val="004D2A85"/>
    <w:rsid w:val="004D4A68"/>
    <w:rsid w:val="004D5423"/>
    <w:rsid w:val="004D5851"/>
    <w:rsid w:val="004D6028"/>
    <w:rsid w:val="004E000B"/>
    <w:rsid w:val="004E00D5"/>
    <w:rsid w:val="004E0694"/>
    <w:rsid w:val="004E127C"/>
    <w:rsid w:val="004E14DB"/>
    <w:rsid w:val="004E17D0"/>
    <w:rsid w:val="004E3A82"/>
    <w:rsid w:val="004E42C0"/>
    <w:rsid w:val="004E7035"/>
    <w:rsid w:val="004F2022"/>
    <w:rsid w:val="004F2141"/>
    <w:rsid w:val="004F2AD6"/>
    <w:rsid w:val="004F2D6B"/>
    <w:rsid w:val="004F2D9C"/>
    <w:rsid w:val="004F3B6C"/>
    <w:rsid w:val="004F3D77"/>
    <w:rsid w:val="004F4A1D"/>
    <w:rsid w:val="004F4A57"/>
    <w:rsid w:val="004F4C47"/>
    <w:rsid w:val="004F6301"/>
    <w:rsid w:val="004F6609"/>
    <w:rsid w:val="004F71A8"/>
    <w:rsid w:val="004F7A73"/>
    <w:rsid w:val="004F7EA3"/>
    <w:rsid w:val="004F7FEC"/>
    <w:rsid w:val="005006DF"/>
    <w:rsid w:val="005008C9"/>
    <w:rsid w:val="005008FA"/>
    <w:rsid w:val="00501CDA"/>
    <w:rsid w:val="005027ED"/>
    <w:rsid w:val="00502B82"/>
    <w:rsid w:val="005046FC"/>
    <w:rsid w:val="005129BA"/>
    <w:rsid w:val="00512AE3"/>
    <w:rsid w:val="00512B00"/>
    <w:rsid w:val="00513A19"/>
    <w:rsid w:val="00514EB7"/>
    <w:rsid w:val="0051518D"/>
    <w:rsid w:val="00515301"/>
    <w:rsid w:val="0052018A"/>
    <w:rsid w:val="00522530"/>
    <w:rsid w:val="005226DC"/>
    <w:rsid w:val="00523A48"/>
    <w:rsid w:val="0052462A"/>
    <w:rsid w:val="005258B2"/>
    <w:rsid w:val="00526E42"/>
    <w:rsid w:val="005314AC"/>
    <w:rsid w:val="00532605"/>
    <w:rsid w:val="0053311D"/>
    <w:rsid w:val="00535654"/>
    <w:rsid w:val="005374C8"/>
    <w:rsid w:val="005375E4"/>
    <w:rsid w:val="00537999"/>
    <w:rsid w:val="00537ED7"/>
    <w:rsid w:val="00544A26"/>
    <w:rsid w:val="005458C0"/>
    <w:rsid w:val="00546794"/>
    <w:rsid w:val="00547387"/>
    <w:rsid w:val="005527C7"/>
    <w:rsid w:val="0055289B"/>
    <w:rsid w:val="00552B79"/>
    <w:rsid w:val="00554189"/>
    <w:rsid w:val="00554DE7"/>
    <w:rsid w:val="0055558B"/>
    <w:rsid w:val="00562DA3"/>
    <w:rsid w:val="00563207"/>
    <w:rsid w:val="0056386F"/>
    <w:rsid w:val="00563FBB"/>
    <w:rsid w:val="00570A1D"/>
    <w:rsid w:val="00572AB1"/>
    <w:rsid w:val="005730E8"/>
    <w:rsid w:val="00573301"/>
    <w:rsid w:val="00573E31"/>
    <w:rsid w:val="005740BB"/>
    <w:rsid w:val="00575403"/>
    <w:rsid w:val="00575F16"/>
    <w:rsid w:val="0057617D"/>
    <w:rsid w:val="00577472"/>
    <w:rsid w:val="005801EC"/>
    <w:rsid w:val="00581900"/>
    <w:rsid w:val="005820D3"/>
    <w:rsid w:val="00582A80"/>
    <w:rsid w:val="00583138"/>
    <w:rsid w:val="00583382"/>
    <w:rsid w:val="00583537"/>
    <w:rsid w:val="00583573"/>
    <w:rsid w:val="00585529"/>
    <w:rsid w:val="00585AA5"/>
    <w:rsid w:val="00587D9A"/>
    <w:rsid w:val="00587E32"/>
    <w:rsid w:val="0059159B"/>
    <w:rsid w:val="005917F9"/>
    <w:rsid w:val="0059231C"/>
    <w:rsid w:val="00592CFA"/>
    <w:rsid w:val="00593F8D"/>
    <w:rsid w:val="0059432D"/>
    <w:rsid w:val="0059516D"/>
    <w:rsid w:val="00595C60"/>
    <w:rsid w:val="00596840"/>
    <w:rsid w:val="00596966"/>
    <w:rsid w:val="005A031A"/>
    <w:rsid w:val="005A0ED4"/>
    <w:rsid w:val="005A12CA"/>
    <w:rsid w:val="005A2CA6"/>
    <w:rsid w:val="005A2F71"/>
    <w:rsid w:val="005A3614"/>
    <w:rsid w:val="005A4232"/>
    <w:rsid w:val="005A42D7"/>
    <w:rsid w:val="005A4548"/>
    <w:rsid w:val="005A522E"/>
    <w:rsid w:val="005A539F"/>
    <w:rsid w:val="005A6D64"/>
    <w:rsid w:val="005B042B"/>
    <w:rsid w:val="005B0EF9"/>
    <w:rsid w:val="005B1A61"/>
    <w:rsid w:val="005B2530"/>
    <w:rsid w:val="005B2BD4"/>
    <w:rsid w:val="005B3871"/>
    <w:rsid w:val="005B5858"/>
    <w:rsid w:val="005B5A27"/>
    <w:rsid w:val="005B6330"/>
    <w:rsid w:val="005B642B"/>
    <w:rsid w:val="005B642F"/>
    <w:rsid w:val="005B660D"/>
    <w:rsid w:val="005C0E9B"/>
    <w:rsid w:val="005C2245"/>
    <w:rsid w:val="005C4550"/>
    <w:rsid w:val="005C5561"/>
    <w:rsid w:val="005C567D"/>
    <w:rsid w:val="005C5EE2"/>
    <w:rsid w:val="005D0787"/>
    <w:rsid w:val="005D1B38"/>
    <w:rsid w:val="005D27CE"/>
    <w:rsid w:val="005D2A78"/>
    <w:rsid w:val="005D2D5C"/>
    <w:rsid w:val="005D36E0"/>
    <w:rsid w:val="005D40E9"/>
    <w:rsid w:val="005D450A"/>
    <w:rsid w:val="005D4A8F"/>
    <w:rsid w:val="005D4D0C"/>
    <w:rsid w:val="005D5840"/>
    <w:rsid w:val="005D6317"/>
    <w:rsid w:val="005E0366"/>
    <w:rsid w:val="005E217D"/>
    <w:rsid w:val="005E233A"/>
    <w:rsid w:val="005E2B2E"/>
    <w:rsid w:val="005E403A"/>
    <w:rsid w:val="005E44F5"/>
    <w:rsid w:val="005E48D2"/>
    <w:rsid w:val="005E5496"/>
    <w:rsid w:val="005E6E76"/>
    <w:rsid w:val="005E77A0"/>
    <w:rsid w:val="005F0B04"/>
    <w:rsid w:val="005F0B64"/>
    <w:rsid w:val="005F19ED"/>
    <w:rsid w:val="005F290E"/>
    <w:rsid w:val="005F34E8"/>
    <w:rsid w:val="005F4C10"/>
    <w:rsid w:val="005F55A9"/>
    <w:rsid w:val="005F6DCE"/>
    <w:rsid w:val="006005B1"/>
    <w:rsid w:val="00600952"/>
    <w:rsid w:val="00601622"/>
    <w:rsid w:val="00601CFE"/>
    <w:rsid w:val="00603509"/>
    <w:rsid w:val="00603BF5"/>
    <w:rsid w:val="00603C3D"/>
    <w:rsid w:val="00606453"/>
    <w:rsid w:val="006066DD"/>
    <w:rsid w:val="0061114D"/>
    <w:rsid w:val="0061116E"/>
    <w:rsid w:val="006127F5"/>
    <w:rsid w:val="0061286C"/>
    <w:rsid w:val="00613A62"/>
    <w:rsid w:val="006150F3"/>
    <w:rsid w:val="006155BF"/>
    <w:rsid w:val="006155F7"/>
    <w:rsid w:val="00616988"/>
    <w:rsid w:val="0061714C"/>
    <w:rsid w:val="0061756A"/>
    <w:rsid w:val="006206E4"/>
    <w:rsid w:val="00620A8F"/>
    <w:rsid w:val="0062196F"/>
    <w:rsid w:val="00621D94"/>
    <w:rsid w:val="00622700"/>
    <w:rsid w:val="00625C86"/>
    <w:rsid w:val="00625CA2"/>
    <w:rsid w:val="00625FD3"/>
    <w:rsid w:val="006262F3"/>
    <w:rsid w:val="00630156"/>
    <w:rsid w:val="00630CC6"/>
    <w:rsid w:val="00631B44"/>
    <w:rsid w:val="00632239"/>
    <w:rsid w:val="00632E43"/>
    <w:rsid w:val="00633299"/>
    <w:rsid w:val="00634667"/>
    <w:rsid w:val="00634BDD"/>
    <w:rsid w:val="00635669"/>
    <w:rsid w:val="00635950"/>
    <w:rsid w:val="00636F9D"/>
    <w:rsid w:val="00637338"/>
    <w:rsid w:val="0064268E"/>
    <w:rsid w:val="006445C9"/>
    <w:rsid w:val="00645342"/>
    <w:rsid w:val="00645EA6"/>
    <w:rsid w:val="006510C3"/>
    <w:rsid w:val="0065250D"/>
    <w:rsid w:val="0065263A"/>
    <w:rsid w:val="00652F74"/>
    <w:rsid w:val="00654FE9"/>
    <w:rsid w:val="006563C1"/>
    <w:rsid w:val="00656EB7"/>
    <w:rsid w:val="006572C7"/>
    <w:rsid w:val="00660E60"/>
    <w:rsid w:val="0066254E"/>
    <w:rsid w:val="00662B7B"/>
    <w:rsid w:val="0066325F"/>
    <w:rsid w:val="006634DD"/>
    <w:rsid w:val="00664A85"/>
    <w:rsid w:val="00664DBC"/>
    <w:rsid w:val="0066607D"/>
    <w:rsid w:val="0066700E"/>
    <w:rsid w:val="006678DD"/>
    <w:rsid w:val="00667DE8"/>
    <w:rsid w:val="00670A04"/>
    <w:rsid w:val="00670DF6"/>
    <w:rsid w:val="00671083"/>
    <w:rsid w:val="006711E5"/>
    <w:rsid w:val="0067136F"/>
    <w:rsid w:val="006714EF"/>
    <w:rsid w:val="006719BF"/>
    <w:rsid w:val="006720A5"/>
    <w:rsid w:val="00673CE1"/>
    <w:rsid w:val="00674641"/>
    <w:rsid w:val="00674B0F"/>
    <w:rsid w:val="006753CA"/>
    <w:rsid w:val="006757C9"/>
    <w:rsid w:val="006760F6"/>
    <w:rsid w:val="006768C1"/>
    <w:rsid w:val="00677331"/>
    <w:rsid w:val="006800B2"/>
    <w:rsid w:val="00680CE3"/>
    <w:rsid w:val="00681135"/>
    <w:rsid w:val="006813CB"/>
    <w:rsid w:val="00683830"/>
    <w:rsid w:val="00684403"/>
    <w:rsid w:val="006850F3"/>
    <w:rsid w:val="00685223"/>
    <w:rsid w:val="0068582F"/>
    <w:rsid w:val="0068648F"/>
    <w:rsid w:val="006869A8"/>
    <w:rsid w:val="00687828"/>
    <w:rsid w:val="006900CB"/>
    <w:rsid w:val="00696650"/>
    <w:rsid w:val="006A01AC"/>
    <w:rsid w:val="006A0319"/>
    <w:rsid w:val="006A043D"/>
    <w:rsid w:val="006A0860"/>
    <w:rsid w:val="006A0D82"/>
    <w:rsid w:val="006A0F0C"/>
    <w:rsid w:val="006A0FF7"/>
    <w:rsid w:val="006A11BC"/>
    <w:rsid w:val="006A178B"/>
    <w:rsid w:val="006A2076"/>
    <w:rsid w:val="006A38AC"/>
    <w:rsid w:val="006A3F18"/>
    <w:rsid w:val="006A4025"/>
    <w:rsid w:val="006A5C0D"/>
    <w:rsid w:val="006A7455"/>
    <w:rsid w:val="006B04C1"/>
    <w:rsid w:val="006B0C89"/>
    <w:rsid w:val="006B1190"/>
    <w:rsid w:val="006B2960"/>
    <w:rsid w:val="006B48F5"/>
    <w:rsid w:val="006B6246"/>
    <w:rsid w:val="006B7031"/>
    <w:rsid w:val="006B74F5"/>
    <w:rsid w:val="006C025A"/>
    <w:rsid w:val="006C03B4"/>
    <w:rsid w:val="006C0958"/>
    <w:rsid w:val="006C0992"/>
    <w:rsid w:val="006C0B98"/>
    <w:rsid w:val="006C342C"/>
    <w:rsid w:val="006C39FC"/>
    <w:rsid w:val="006C55E7"/>
    <w:rsid w:val="006C5C29"/>
    <w:rsid w:val="006C6021"/>
    <w:rsid w:val="006C619A"/>
    <w:rsid w:val="006C6889"/>
    <w:rsid w:val="006C6ADC"/>
    <w:rsid w:val="006C7595"/>
    <w:rsid w:val="006D01FF"/>
    <w:rsid w:val="006D060E"/>
    <w:rsid w:val="006D4535"/>
    <w:rsid w:val="006D6242"/>
    <w:rsid w:val="006E039A"/>
    <w:rsid w:val="006E03A8"/>
    <w:rsid w:val="006E0581"/>
    <w:rsid w:val="006E0DBD"/>
    <w:rsid w:val="006E34BD"/>
    <w:rsid w:val="006E391D"/>
    <w:rsid w:val="006E3985"/>
    <w:rsid w:val="006E479E"/>
    <w:rsid w:val="006E4B59"/>
    <w:rsid w:val="006E5FAB"/>
    <w:rsid w:val="006E66CB"/>
    <w:rsid w:val="006E66D6"/>
    <w:rsid w:val="006E68FD"/>
    <w:rsid w:val="006E70AD"/>
    <w:rsid w:val="006E7789"/>
    <w:rsid w:val="006F1915"/>
    <w:rsid w:val="006F205D"/>
    <w:rsid w:val="006F2861"/>
    <w:rsid w:val="006F31EF"/>
    <w:rsid w:val="006F4A03"/>
    <w:rsid w:val="006F4A9B"/>
    <w:rsid w:val="006F5769"/>
    <w:rsid w:val="006F65DF"/>
    <w:rsid w:val="006F7592"/>
    <w:rsid w:val="00700EAD"/>
    <w:rsid w:val="0070232A"/>
    <w:rsid w:val="007038A3"/>
    <w:rsid w:val="00704884"/>
    <w:rsid w:val="00705A8E"/>
    <w:rsid w:val="00705FBB"/>
    <w:rsid w:val="007063D0"/>
    <w:rsid w:val="00707872"/>
    <w:rsid w:val="0071199A"/>
    <w:rsid w:val="007150B7"/>
    <w:rsid w:val="007170F9"/>
    <w:rsid w:val="00721CC0"/>
    <w:rsid w:val="00722252"/>
    <w:rsid w:val="00722A1C"/>
    <w:rsid w:val="007243B9"/>
    <w:rsid w:val="00724EC1"/>
    <w:rsid w:val="007256D9"/>
    <w:rsid w:val="00726085"/>
    <w:rsid w:val="00726858"/>
    <w:rsid w:val="007303D6"/>
    <w:rsid w:val="007318B9"/>
    <w:rsid w:val="00732C60"/>
    <w:rsid w:val="00732E15"/>
    <w:rsid w:val="00733FF6"/>
    <w:rsid w:val="00734786"/>
    <w:rsid w:val="0073555A"/>
    <w:rsid w:val="00735A26"/>
    <w:rsid w:val="00735E96"/>
    <w:rsid w:val="00736700"/>
    <w:rsid w:val="00736DB5"/>
    <w:rsid w:val="00736DE7"/>
    <w:rsid w:val="00737038"/>
    <w:rsid w:val="00740093"/>
    <w:rsid w:val="007404CD"/>
    <w:rsid w:val="00740693"/>
    <w:rsid w:val="00740C47"/>
    <w:rsid w:val="00741CC6"/>
    <w:rsid w:val="00742C21"/>
    <w:rsid w:val="0074397E"/>
    <w:rsid w:val="00743C21"/>
    <w:rsid w:val="007441D3"/>
    <w:rsid w:val="00745B2C"/>
    <w:rsid w:val="00750538"/>
    <w:rsid w:val="007505F7"/>
    <w:rsid w:val="007508D4"/>
    <w:rsid w:val="00752493"/>
    <w:rsid w:val="00752640"/>
    <w:rsid w:val="00752D5B"/>
    <w:rsid w:val="0075382B"/>
    <w:rsid w:val="00754903"/>
    <w:rsid w:val="007550C5"/>
    <w:rsid w:val="00755317"/>
    <w:rsid w:val="00757732"/>
    <w:rsid w:val="007601C6"/>
    <w:rsid w:val="007605E2"/>
    <w:rsid w:val="00760F26"/>
    <w:rsid w:val="0076141A"/>
    <w:rsid w:val="00762813"/>
    <w:rsid w:val="00763560"/>
    <w:rsid w:val="00763B89"/>
    <w:rsid w:val="00764D64"/>
    <w:rsid w:val="007651FC"/>
    <w:rsid w:val="00765B6D"/>
    <w:rsid w:val="00765D7D"/>
    <w:rsid w:val="00765E65"/>
    <w:rsid w:val="00765EA4"/>
    <w:rsid w:val="00766934"/>
    <w:rsid w:val="00772AB4"/>
    <w:rsid w:val="00772DC4"/>
    <w:rsid w:val="00773599"/>
    <w:rsid w:val="007736FA"/>
    <w:rsid w:val="007739E5"/>
    <w:rsid w:val="00773D76"/>
    <w:rsid w:val="00774F93"/>
    <w:rsid w:val="007769C9"/>
    <w:rsid w:val="00777C35"/>
    <w:rsid w:val="0078097D"/>
    <w:rsid w:val="00781959"/>
    <w:rsid w:val="00781D5A"/>
    <w:rsid w:val="00781F2A"/>
    <w:rsid w:val="007823AF"/>
    <w:rsid w:val="00782B86"/>
    <w:rsid w:val="0078431F"/>
    <w:rsid w:val="007860BE"/>
    <w:rsid w:val="007905D1"/>
    <w:rsid w:val="00790E23"/>
    <w:rsid w:val="00791361"/>
    <w:rsid w:val="00791996"/>
    <w:rsid w:val="00791CED"/>
    <w:rsid w:val="00791DB0"/>
    <w:rsid w:val="00793EBB"/>
    <w:rsid w:val="00794478"/>
    <w:rsid w:val="00794C0C"/>
    <w:rsid w:val="00797212"/>
    <w:rsid w:val="007A16E5"/>
    <w:rsid w:val="007A186F"/>
    <w:rsid w:val="007A1A75"/>
    <w:rsid w:val="007A39F8"/>
    <w:rsid w:val="007A3F20"/>
    <w:rsid w:val="007A3FC8"/>
    <w:rsid w:val="007A46EB"/>
    <w:rsid w:val="007A5580"/>
    <w:rsid w:val="007A5BBE"/>
    <w:rsid w:val="007A61E8"/>
    <w:rsid w:val="007A6462"/>
    <w:rsid w:val="007A6D70"/>
    <w:rsid w:val="007A7E36"/>
    <w:rsid w:val="007B03CE"/>
    <w:rsid w:val="007B0741"/>
    <w:rsid w:val="007B07C3"/>
    <w:rsid w:val="007B0ABF"/>
    <w:rsid w:val="007B166A"/>
    <w:rsid w:val="007B2E59"/>
    <w:rsid w:val="007B385C"/>
    <w:rsid w:val="007B4636"/>
    <w:rsid w:val="007B4827"/>
    <w:rsid w:val="007B5E0C"/>
    <w:rsid w:val="007B6CEE"/>
    <w:rsid w:val="007C0584"/>
    <w:rsid w:val="007C0C95"/>
    <w:rsid w:val="007C2B84"/>
    <w:rsid w:val="007C3968"/>
    <w:rsid w:val="007C4C41"/>
    <w:rsid w:val="007C515A"/>
    <w:rsid w:val="007C53B6"/>
    <w:rsid w:val="007C71DD"/>
    <w:rsid w:val="007C752B"/>
    <w:rsid w:val="007C7DBA"/>
    <w:rsid w:val="007D0160"/>
    <w:rsid w:val="007D1353"/>
    <w:rsid w:val="007D165D"/>
    <w:rsid w:val="007D1836"/>
    <w:rsid w:val="007D185E"/>
    <w:rsid w:val="007D30C9"/>
    <w:rsid w:val="007D340A"/>
    <w:rsid w:val="007D3441"/>
    <w:rsid w:val="007D40FF"/>
    <w:rsid w:val="007D43C2"/>
    <w:rsid w:val="007D4D74"/>
    <w:rsid w:val="007E0673"/>
    <w:rsid w:val="007E14E0"/>
    <w:rsid w:val="007E1632"/>
    <w:rsid w:val="007E2D0B"/>
    <w:rsid w:val="007E356E"/>
    <w:rsid w:val="007E3AA7"/>
    <w:rsid w:val="007E5088"/>
    <w:rsid w:val="007F5C8F"/>
    <w:rsid w:val="007F637A"/>
    <w:rsid w:val="007F6479"/>
    <w:rsid w:val="007F7481"/>
    <w:rsid w:val="00800CD9"/>
    <w:rsid w:val="00802628"/>
    <w:rsid w:val="00804120"/>
    <w:rsid w:val="008056AA"/>
    <w:rsid w:val="00805B9B"/>
    <w:rsid w:val="00807125"/>
    <w:rsid w:val="0081027F"/>
    <w:rsid w:val="00812475"/>
    <w:rsid w:val="008145D5"/>
    <w:rsid w:val="00814790"/>
    <w:rsid w:val="00814E2A"/>
    <w:rsid w:val="00815DEF"/>
    <w:rsid w:val="00816375"/>
    <w:rsid w:val="008167CD"/>
    <w:rsid w:val="00816F14"/>
    <w:rsid w:val="0081760D"/>
    <w:rsid w:val="00820138"/>
    <w:rsid w:val="008222D7"/>
    <w:rsid w:val="00822A2C"/>
    <w:rsid w:val="00825187"/>
    <w:rsid w:val="008259FB"/>
    <w:rsid w:val="00826B0C"/>
    <w:rsid w:val="008272D6"/>
    <w:rsid w:val="0083232A"/>
    <w:rsid w:val="00832547"/>
    <w:rsid w:val="00832583"/>
    <w:rsid w:val="00833855"/>
    <w:rsid w:val="008352E8"/>
    <w:rsid w:val="008358CF"/>
    <w:rsid w:val="00835F23"/>
    <w:rsid w:val="008362BB"/>
    <w:rsid w:val="0083632B"/>
    <w:rsid w:val="008367F4"/>
    <w:rsid w:val="008378D8"/>
    <w:rsid w:val="00837C87"/>
    <w:rsid w:val="008420C2"/>
    <w:rsid w:val="008434B1"/>
    <w:rsid w:val="00843AC3"/>
    <w:rsid w:val="00843B0E"/>
    <w:rsid w:val="00844CA6"/>
    <w:rsid w:val="00845311"/>
    <w:rsid w:val="0084579F"/>
    <w:rsid w:val="00846296"/>
    <w:rsid w:val="008469BD"/>
    <w:rsid w:val="0084787F"/>
    <w:rsid w:val="00847E54"/>
    <w:rsid w:val="00850454"/>
    <w:rsid w:val="00850CB7"/>
    <w:rsid w:val="0085165E"/>
    <w:rsid w:val="00851F76"/>
    <w:rsid w:val="00853B75"/>
    <w:rsid w:val="00853BD7"/>
    <w:rsid w:val="00853BE7"/>
    <w:rsid w:val="00854537"/>
    <w:rsid w:val="0085501C"/>
    <w:rsid w:val="0085566C"/>
    <w:rsid w:val="008556F1"/>
    <w:rsid w:val="008606E3"/>
    <w:rsid w:val="00860866"/>
    <w:rsid w:val="0086117A"/>
    <w:rsid w:val="00863FB1"/>
    <w:rsid w:val="00865367"/>
    <w:rsid w:val="00865496"/>
    <w:rsid w:val="008655CC"/>
    <w:rsid w:val="00865608"/>
    <w:rsid w:val="008657F8"/>
    <w:rsid w:val="00865D3E"/>
    <w:rsid w:val="0086720A"/>
    <w:rsid w:val="008679F6"/>
    <w:rsid w:val="00870042"/>
    <w:rsid w:val="0087013B"/>
    <w:rsid w:val="008703AA"/>
    <w:rsid w:val="008716CD"/>
    <w:rsid w:val="0087188F"/>
    <w:rsid w:val="00872F51"/>
    <w:rsid w:val="00873D1C"/>
    <w:rsid w:val="00873DFF"/>
    <w:rsid w:val="00875375"/>
    <w:rsid w:val="008757C1"/>
    <w:rsid w:val="0087587B"/>
    <w:rsid w:val="00876082"/>
    <w:rsid w:val="00877049"/>
    <w:rsid w:val="00877878"/>
    <w:rsid w:val="00877997"/>
    <w:rsid w:val="00877DC0"/>
    <w:rsid w:val="008808FF"/>
    <w:rsid w:val="00881788"/>
    <w:rsid w:val="00881C90"/>
    <w:rsid w:val="00882064"/>
    <w:rsid w:val="00882266"/>
    <w:rsid w:val="008824D9"/>
    <w:rsid w:val="00884103"/>
    <w:rsid w:val="00884515"/>
    <w:rsid w:val="00886158"/>
    <w:rsid w:val="0088788D"/>
    <w:rsid w:val="008907A7"/>
    <w:rsid w:val="00891846"/>
    <w:rsid w:val="00891D03"/>
    <w:rsid w:val="00891DD7"/>
    <w:rsid w:val="00892A70"/>
    <w:rsid w:val="00892B24"/>
    <w:rsid w:val="008945E2"/>
    <w:rsid w:val="0089478B"/>
    <w:rsid w:val="00894B1F"/>
    <w:rsid w:val="0089594F"/>
    <w:rsid w:val="00895F44"/>
    <w:rsid w:val="00896A54"/>
    <w:rsid w:val="008970D8"/>
    <w:rsid w:val="008A0C72"/>
    <w:rsid w:val="008A0F5C"/>
    <w:rsid w:val="008A46D3"/>
    <w:rsid w:val="008A53CC"/>
    <w:rsid w:val="008A55A5"/>
    <w:rsid w:val="008A695A"/>
    <w:rsid w:val="008A6B68"/>
    <w:rsid w:val="008A6B71"/>
    <w:rsid w:val="008A7368"/>
    <w:rsid w:val="008A7563"/>
    <w:rsid w:val="008A7BAD"/>
    <w:rsid w:val="008B0255"/>
    <w:rsid w:val="008B18A6"/>
    <w:rsid w:val="008B2094"/>
    <w:rsid w:val="008B5013"/>
    <w:rsid w:val="008B68AF"/>
    <w:rsid w:val="008B7B95"/>
    <w:rsid w:val="008C1AE5"/>
    <w:rsid w:val="008C3A12"/>
    <w:rsid w:val="008C3C7D"/>
    <w:rsid w:val="008C435F"/>
    <w:rsid w:val="008C533B"/>
    <w:rsid w:val="008C6A83"/>
    <w:rsid w:val="008C6BC7"/>
    <w:rsid w:val="008C79C4"/>
    <w:rsid w:val="008D074C"/>
    <w:rsid w:val="008D2673"/>
    <w:rsid w:val="008D2C34"/>
    <w:rsid w:val="008D2DB6"/>
    <w:rsid w:val="008D493C"/>
    <w:rsid w:val="008D5834"/>
    <w:rsid w:val="008D5B47"/>
    <w:rsid w:val="008D6466"/>
    <w:rsid w:val="008D7BDD"/>
    <w:rsid w:val="008E0A4C"/>
    <w:rsid w:val="008E0B39"/>
    <w:rsid w:val="008E10BC"/>
    <w:rsid w:val="008E4CFB"/>
    <w:rsid w:val="008E5A43"/>
    <w:rsid w:val="008E6823"/>
    <w:rsid w:val="008E6F7D"/>
    <w:rsid w:val="008E7869"/>
    <w:rsid w:val="008F12F2"/>
    <w:rsid w:val="008F14EA"/>
    <w:rsid w:val="008F2580"/>
    <w:rsid w:val="008F261F"/>
    <w:rsid w:val="008F3C09"/>
    <w:rsid w:val="008F5913"/>
    <w:rsid w:val="008F6416"/>
    <w:rsid w:val="008F645F"/>
    <w:rsid w:val="008F6D3B"/>
    <w:rsid w:val="00901E32"/>
    <w:rsid w:val="009021B8"/>
    <w:rsid w:val="0090346B"/>
    <w:rsid w:val="00903486"/>
    <w:rsid w:val="009035AD"/>
    <w:rsid w:val="0090442F"/>
    <w:rsid w:val="009058D9"/>
    <w:rsid w:val="00906AEF"/>
    <w:rsid w:val="00912A7E"/>
    <w:rsid w:val="00913889"/>
    <w:rsid w:val="0091571C"/>
    <w:rsid w:val="00915F1B"/>
    <w:rsid w:val="009164F4"/>
    <w:rsid w:val="0091745A"/>
    <w:rsid w:val="0091757E"/>
    <w:rsid w:val="00917E49"/>
    <w:rsid w:val="00920316"/>
    <w:rsid w:val="00920823"/>
    <w:rsid w:val="00922148"/>
    <w:rsid w:val="00922547"/>
    <w:rsid w:val="009225A6"/>
    <w:rsid w:val="00922849"/>
    <w:rsid w:val="009245A0"/>
    <w:rsid w:val="00924D90"/>
    <w:rsid w:val="009252BF"/>
    <w:rsid w:val="009252E2"/>
    <w:rsid w:val="00926541"/>
    <w:rsid w:val="009272D0"/>
    <w:rsid w:val="009304BF"/>
    <w:rsid w:val="009309EA"/>
    <w:rsid w:val="00930BD0"/>
    <w:rsid w:val="00931A23"/>
    <w:rsid w:val="00931B3B"/>
    <w:rsid w:val="00932B1F"/>
    <w:rsid w:val="009341A4"/>
    <w:rsid w:val="009341F0"/>
    <w:rsid w:val="009349C2"/>
    <w:rsid w:val="009371F3"/>
    <w:rsid w:val="009379D3"/>
    <w:rsid w:val="00940210"/>
    <w:rsid w:val="00941384"/>
    <w:rsid w:val="0094267D"/>
    <w:rsid w:val="00942A4F"/>
    <w:rsid w:val="00944021"/>
    <w:rsid w:val="0094467C"/>
    <w:rsid w:val="00945ADA"/>
    <w:rsid w:val="00946030"/>
    <w:rsid w:val="00947D4D"/>
    <w:rsid w:val="009533ED"/>
    <w:rsid w:val="00954D7C"/>
    <w:rsid w:val="00955407"/>
    <w:rsid w:val="0095548E"/>
    <w:rsid w:val="00956974"/>
    <w:rsid w:val="009575DF"/>
    <w:rsid w:val="009607C8"/>
    <w:rsid w:val="00961208"/>
    <w:rsid w:val="0096478E"/>
    <w:rsid w:val="009649BB"/>
    <w:rsid w:val="00965932"/>
    <w:rsid w:val="00967578"/>
    <w:rsid w:val="009729DC"/>
    <w:rsid w:val="00972B8F"/>
    <w:rsid w:val="00972F42"/>
    <w:rsid w:val="0097303F"/>
    <w:rsid w:val="00975D85"/>
    <w:rsid w:val="00976288"/>
    <w:rsid w:val="00976759"/>
    <w:rsid w:val="00976BCA"/>
    <w:rsid w:val="00977D2A"/>
    <w:rsid w:val="00977E1E"/>
    <w:rsid w:val="009805FE"/>
    <w:rsid w:val="00981D71"/>
    <w:rsid w:val="00984F5F"/>
    <w:rsid w:val="0098765F"/>
    <w:rsid w:val="00990135"/>
    <w:rsid w:val="00990560"/>
    <w:rsid w:val="00991816"/>
    <w:rsid w:val="00991907"/>
    <w:rsid w:val="00992BED"/>
    <w:rsid w:val="00992F4D"/>
    <w:rsid w:val="00993602"/>
    <w:rsid w:val="00994DD0"/>
    <w:rsid w:val="00997598"/>
    <w:rsid w:val="009A0A79"/>
    <w:rsid w:val="009A1809"/>
    <w:rsid w:val="009A19DC"/>
    <w:rsid w:val="009A1C9B"/>
    <w:rsid w:val="009A3012"/>
    <w:rsid w:val="009A3558"/>
    <w:rsid w:val="009A4437"/>
    <w:rsid w:val="009A51A1"/>
    <w:rsid w:val="009A5CC0"/>
    <w:rsid w:val="009A6BFE"/>
    <w:rsid w:val="009A710B"/>
    <w:rsid w:val="009A7468"/>
    <w:rsid w:val="009A74F8"/>
    <w:rsid w:val="009B1F35"/>
    <w:rsid w:val="009B339A"/>
    <w:rsid w:val="009B544F"/>
    <w:rsid w:val="009C0D77"/>
    <w:rsid w:val="009C2A7D"/>
    <w:rsid w:val="009C2BCA"/>
    <w:rsid w:val="009C30AE"/>
    <w:rsid w:val="009C3CA9"/>
    <w:rsid w:val="009C4B79"/>
    <w:rsid w:val="009C533E"/>
    <w:rsid w:val="009C5542"/>
    <w:rsid w:val="009C5B3B"/>
    <w:rsid w:val="009C6D79"/>
    <w:rsid w:val="009C6FA4"/>
    <w:rsid w:val="009C737C"/>
    <w:rsid w:val="009C7774"/>
    <w:rsid w:val="009D0182"/>
    <w:rsid w:val="009D13CF"/>
    <w:rsid w:val="009D435F"/>
    <w:rsid w:val="009D450F"/>
    <w:rsid w:val="009D7F3A"/>
    <w:rsid w:val="009E1930"/>
    <w:rsid w:val="009E1C10"/>
    <w:rsid w:val="009E2D15"/>
    <w:rsid w:val="009E41FC"/>
    <w:rsid w:val="009E48D6"/>
    <w:rsid w:val="009E7FAE"/>
    <w:rsid w:val="009F296A"/>
    <w:rsid w:val="009F4DCC"/>
    <w:rsid w:val="009F5959"/>
    <w:rsid w:val="009F7B1E"/>
    <w:rsid w:val="00A00E3C"/>
    <w:rsid w:val="00A01940"/>
    <w:rsid w:val="00A01EC2"/>
    <w:rsid w:val="00A02759"/>
    <w:rsid w:val="00A0322C"/>
    <w:rsid w:val="00A03358"/>
    <w:rsid w:val="00A03520"/>
    <w:rsid w:val="00A03A06"/>
    <w:rsid w:val="00A03EBA"/>
    <w:rsid w:val="00A05992"/>
    <w:rsid w:val="00A069B1"/>
    <w:rsid w:val="00A06F9C"/>
    <w:rsid w:val="00A07EB2"/>
    <w:rsid w:val="00A1144F"/>
    <w:rsid w:val="00A11E00"/>
    <w:rsid w:val="00A124A7"/>
    <w:rsid w:val="00A14502"/>
    <w:rsid w:val="00A15D64"/>
    <w:rsid w:val="00A17274"/>
    <w:rsid w:val="00A17E01"/>
    <w:rsid w:val="00A20479"/>
    <w:rsid w:val="00A20807"/>
    <w:rsid w:val="00A21B74"/>
    <w:rsid w:val="00A21F41"/>
    <w:rsid w:val="00A23227"/>
    <w:rsid w:val="00A23BDB"/>
    <w:rsid w:val="00A23FA8"/>
    <w:rsid w:val="00A24277"/>
    <w:rsid w:val="00A248BA"/>
    <w:rsid w:val="00A26253"/>
    <w:rsid w:val="00A26DB5"/>
    <w:rsid w:val="00A30BEB"/>
    <w:rsid w:val="00A31065"/>
    <w:rsid w:val="00A31600"/>
    <w:rsid w:val="00A32207"/>
    <w:rsid w:val="00A33D82"/>
    <w:rsid w:val="00A3423A"/>
    <w:rsid w:val="00A36236"/>
    <w:rsid w:val="00A36374"/>
    <w:rsid w:val="00A36FEC"/>
    <w:rsid w:val="00A375D7"/>
    <w:rsid w:val="00A406D3"/>
    <w:rsid w:val="00A4079C"/>
    <w:rsid w:val="00A420B5"/>
    <w:rsid w:val="00A42992"/>
    <w:rsid w:val="00A42B67"/>
    <w:rsid w:val="00A42BC0"/>
    <w:rsid w:val="00A43FD2"/>
    <w:rsid w:val="00A448CD"/>
    <w:rsid w:val="00A44D24"/>
    <w:rsid w:val="00A45E4D"/>
    <w:rsid w:val="00A45FB6"/>
    <w:rsid w:val="00A46741"/>
    <w:rsid w:val="00A4780E"/>
    <w:rsid w:val="00A50056"/>
    <w:rsid w:val="00A5178A"/>
    <w:rsid w:val="00A5186A"/>
    <w:rsid w:val="00A51FE8"/>
    <w:rsid w:val="00A52B6F"/>
    <w:rsid w:val="00A5391D"/>
    <w:rsid w:val="00A5468C"/>
    <w:rsid w:val="00A547A0"/>
    <w:rsid w:val="00A547B3"/>
    <w:rsid w:val="00A549D4"/>
    <w:rsid w:val="00A54D83"/>
    <w:rsid w:val="00A551F9"/>
    <w:rsid w:val="00A56595"/>
    <w:rsid w:val="00A56C0A"/>
    <w:rsid w:val="00A56D54"/>
    <w:rsid w:val="00A56FBD"/>
    <w:rsid w:val="00A57CA4"/>
    <w:rsid w:val="00A606F8"/>
    <w:rsid w:val="00A61FE4"/>
    <w:rsid w:val="00A6297F"/>
    <w:rsid w:val="00A63974"/>
    <w:rsid w:val="00A63ED5"/>
    <w:rsid w:val="00A64CBB"/>
    <w:rsid w:val="00A655C6"/>
    <w:rsid w:val="00A65CE6"/>
    <w:rsid w:val="00A66C6F"/>
    <w:rsid w:val="00A674AC"/>
    <w:rsid w:val="00A706CA"/>
    <w:rsid w:val="00A7109A"/>
    <w:rsid w:val="00A7300F"/>
    <w:rsid w:val="00A7301C"/>
    <w:rsid w:val="00A73403"/>
    <w:rsid w:val="00A76370"/>
    <w:rsid w:val="00A77A43"/>
    <w:rsid w:val="00A80B21"/>
    <w:rsid w:val="00A84798"/>
    <w:rsid w:val="00A84AF3"/>
    <w:rsid w:val="00A84DC9"/>
    <w:rsid w:val="00A85884"/>
    <w:rsid w:val="00A86BF9"/>
    <w:rsid w:val="00A90DF7"/>
    <w:rsid w:val="00A90E3E"/>
    <w:rsid w:val="00A90EEB"/>
    <w:rsid w:val="00A91223"/>
    <w:rsid w:val="00A91B59"/>
    <w:rsid w:val="00A921EC"/>
    <w:rsid w:val="00A92865"/>
    <w:rsid w:val="00A939C1"/>
    <w:rsid w:val="00A93CE0"/>
    <w:rsid w:val="00A94916"/>
    <w:rsid w:val="00A95A3D"/>
    <w:rsid w:val="00AA0481"/>
    <w:rsid w:val="00AA0C86"/>
    <w:rsid w:val="00AA3273"/>
    <w:rsid w:val="00AA3317"/>
    <w:rsid w:val="00AA3FCC"/>
    <w:rsid w:val="00AA4B60"/>
    <w:rsid w:val="00AA4C96"/>
    <w:rsid w:val="00AA5294"/>
    <w:rsid w:val="00AA542B"/>
    <w:rsid w:val="00AA5AE1"/>
    <w:rsid w:val="00AA5B0C"/>
    <w:rsid w:val="00AA70A8"/>
    <w:rsid w:val="00AA73B5"/>
    <w:rsid w:val="00AB0C39"/>
    <w:rsid w:val="00AB184F"/>
    <w:rsid w:val="00AB260A"/>
    <w:rsid w:val="00AB3212"/>
    <w:rsid w:val="00AB3E18"/>
    <w:rsid w:val="00AB4257"/>
    <w:rsid w:val="00AB46C3"/>
    <w:rsid w:val="00AB46EE"/>
    <w:rsid w:val="00AB4756"/>
    <w:rsid w:val="00AB524D"/>
    <w:rsid w:val="00AB690D"/>
    <w:rsid w:val="00AB6AB2"/>
    <w:rsid w:val="00AB75B8"/>
    <w:rsid w:val="00AC0D29"/>
    <w:rsid w:val="00AC2137"/>
    <w:rsid w:val="00AC22F2"/>
    <w:rsid w:val="00AC3710"/>
    <w:rsid w:val="00AC3B42"/>
    <w:rsid w:val="00AC4F66"/>
    <w:rsid w:val="00AD3685"/>
    <w:rsid w:val="00AD42D0"/>
    <w:rsid w:val="00AD4982"/>
    <w:rsid w:val="00AD5695"/>
    <w:rsid w:val="00AD57B1"/>
    <w:rsid w:val="00AD7542"/>
    <w:rsid w:val="00AD7611"/>
    <w:rsid w:val="00AE0D72"/>
    <w:rsid w:val="00AE0F54"/>
    <w:rsid w:val="00AE1317"/>
    <w:rsid w:val="00AE13B3"/>
    <w:rsid w:val="00AE160E"/>
    <w:rsid w:val="00AE17E2"/>
    <w:rsid w:val="00AE2BB1"/>
    <w:rsid w:val="00AE4142"/>
    <w:rsid w:val="00AE534D"/>
    <w:rsid w:val="00AE7844"/>
    <w:rsid w:val="00AE7E58"/>
    <w:rsid w:val="00AF13E4"/>
    <w:rsid w:val="00AF13EE"/>
    <w:rsid w:val="00AF14D3"/>
    <w:rsid w:val="00AF1CB6"/>
    <w:rsid w:val="00AF2835"/>
    <w:rsid w:val="00AF2BA9"/>
    <w:rsid w:val="00AF3869"/>
    <w:rsid w:val="00AF3BCA"/>
    <w:rsid w:val="00AF3E8C"/>
    <w:rsid w:val="00AF4744"/>
    <w:rsid w:val="00AF4D1B"/>
    <w:rsid w:val="00AF4E6E"/>
    <w:rsid w:val="00AF5E4F"/>
    <w:rsid w:val="00AF6A1E"/>
    <w:rsid w:val="00AF6CBD"/>
    <w:rsid w:val="00B021D4"/>
    <w:rsid w:val="00B02340"/>
    <w:rsid w:val="00B02441"/>
    <w:rsid w:val="00B02464"/>
    <w:rsid w:val="00B03373"/>
    <w:rsid w:val="00B045F4"/>
    <w:rsid w:val="00B047A5"/>
    <w:rsid w:val="00B05D6F"/>
    <w:rsid w:val="00B0625E"/>
    <w:rsid w:val="00B06CE0"/>
    <w:rsid w:val="00B071F6"/>
    <w:rsid w:val="00B11B87"/>
    <w:rsid w:val="00B12BE6"/>
    <w:rsid w:val="00B1388A"/>
    <w:rsid w:val="00B13946"/>
    <w:rsid w:val="00B1564D"/>
    <w:rsid w:val="00B16C7A"/>
    <w:rsid w:val="00B16FDA"/>
    <w:rsid w:val="00B20585"/>
    <w:rsid w:val="00B20706"/>
    <w:rsid w:val="00B220CD"/>
    <w:rsid w:val="00B23330"/>
    <w:rsid w:val="00B23CD6"/>
    <w:rsid w:val="00B23FA3"/>
    <w:rsid w:val="00B2400F"/>
    <w:rsid w:val="00B2646B"/>
    <w:rsid w:val="00B268C7"/>
    <w:rsid w:val="00B27150"/>
    <w:rsid w:val="00B3083E"/>
    <w:rsid w:val="00B30ADA"/>
    <w:rsid w:val="00B322AC"/>
    <w:rsid w:val="00B32E1A"/>
    <w:rsid w:val="00B340D1"/>
    <w:rsid w:val="00B3506B"/>
    <w:rsid w:val="00B357C1"/>
    <w:rsid w:val="00B3610B"/>
    <w:rsid w:val="00B3729C"/>
    <w:rsid w:val="00B378F1"/>
    <w:rsid w:val="00B40D23"/>
    <w:rsid w:val="00B40F6F"/>
    <w:rsid w:val="00B4111D"/>
    <w:rsid w:val="00B41E49"/>
    <w:rsid w:val="00B4558A"/>
    <w:rsid w:val="00B45873"/>
    <w:rsid w:val="00B46785"/>
    <w:rsid w:val="00B47C1D"/>
    <w:rsid w:val="00B50E9D"/>
    <w:rsid w:val="00B52887"/>
    <w:rsid w:val="00B55AFE"/>
    <w:rsid w:val="00B577E4"/>
    <w:rsid w:val="00B57A49"/>
    <w:rsid w:val="00B610EA"/>
    <w:rsid w:val="00B61AC9"/>
    <w:rsid w:val="00B625C3"/>
    <w:rsid w:val="00B634B6"/>
    <w:rsid w:val="00B638AB"/>
    <w:rsid w:val="00B64B47"/>
    <w:rsid w:val="00B64C79"/>
    <w:rsid w:val="00B6505B"/>
    <w:rsid w:val="00B65316"/>
    <w:rsid w:val="00B6586D"/>
    <w:rsid w:val="00B658E0"/>
    <w:rsid w:val="00B66E24"/>
    <w:rsid w:val="00B6750C"/>
    <w:rsid w:val="00B704B0"/>
    <w:rsid w:val="00B71B5B"/>
    <w:rsid w:val="00B72166"/>
    <w:rsid w:val="00B72698"/>
    <w:rsid w:val="00B749A0"/>
    <w:rsid w:val="00B74BC2"/>
    <w:rsid w:val="00B75BBC"/>
    <w:rsid w:val="00B7612C"/>
    <w:rsid w:val="00B7684A"/>
    <w:rsid w:val="00B7737D"/>
    <w:rsid w:val="00B77EF6"/>
    <w:rsid w:val="00B80EC2"/>
    <w:rsid w:val="00B82093"/>
    <w:rsid w:val="00B82346"/>
    <w:rsid w:val="00B867E7"/>
    <w:rsid w:val="00B87266"/>
    <w:rsid w:val="00B879B3"/>
    <w:rsid w:val="00B87BD9"/>
    <w:rsid w:val="00B90718"/>
    <w:rsid w:val="00B90849"/>
    <w:rsid w:val="00B9144A"/>
    <w:rsid w:val="00B9333E"/>
    <w:rsid w:val="00B936C3"/>
    <w:rsid w:val="00B946BF"/>
    <w:rsid w:val="00B947C3"/>
    <w:rsid w:val="00B95762"/>
    <w:rsid w:val="00B97C5E"/>
    <w:rsid w:val="00BA03C8"/>
    <w:rsid w:val="00BA03E5"/>
    <w:rsid w:val="00BA1163"/>
    <w:rsid w:val="00BA171A"/>
    <w:rsid w:val="00BA4DBB"/>
    <w:rsid w:val="00BA4E91"/>
    <w:rsid w:val="00BA5FE9"/>
    <w:rsid w:val="00BA6509"/>
    <w:rsid w:val="00BA6D04"/>
    <w:rsid w:val="00BA72D1"/>
    <w:rsid w:val="00BA7611"/>
    <w:rsid w:val="00BA7A0A"/>
    <w:rsid w:val="00BB0A2A"/>
    <w:rsid w:val="00BB2DAC"/>
    <w:rsid w:val="00BB4786"/>
    <w:rsid w:val="00BB482C"/>
    <w:rsid w:val="00BB6C55"/>
    <w:rsid w:val="00BB7521"/>
    <w:rsid w:val="00BB7850"/>
    <w:rsid w:val="00BB7875"/>
    <w:rsid w:val="00BC385A"/>
    <w:rsid w:val="00BC4437"/>
    <w:rsid w:val="00BC4DE3"/>
    <w:rsid w:val="00BC4F2B"/>
    <w:rsid w:val="00BC5486"/>
    <w:rsid w:val="00BC5FD4"/>
    <w:rsid w:val="00BC699C"/>
    <w:rsid w:val="00BC7072"/>
    <w:rsid w:val="00BC7419"/>
    <w:rsid w:val="00BC7FCC"/>
    <w:rsid w:val="00BD1D76"/>
    <w:rsid w:val="00BD1F2F"/>
    <w:rsid w:val="00BD21C6"/>
    <w:rsid w:val="00BD27D5"/>
    <w:rsid w:val="00BD2FD0"/>
    <w:rsid w:val="00BD344B"/>
    <w:rsid w:val="00BD3A2E"/>
    <w:rsid w:val="00BD4967"/>
    <w:rsid w:val="00BD4D3A"/>
    <w:rsid w:val="00BD557C"/>
    <w:rsid w:val="00BD7953"/>
    <w:rsid w:val="00BE0159"/>
    <w:rsid w:val="00BE030E"/>
    <w:rsid w:val="00BE0BCE"/>
    <w:rsid w:val="00BE177A"/>
    <w:rsid w:val="00BE4CF8"/>
    <w:rsid w:val="00BE70D5"/>
    <w:rsid w:val="00BE7964"/>
    <w:rsid w:val="00BF0753"/>
    <w:rsid w:val="00BF1C72"/>
    <w:rsid w:val="00BF1F31"/>
    <w:rsid w:val="00BF3AA4"/>
    <w:rsid w:val="00BF4593"/>
    <w:rsid w:val="00BF71D0"/>
    <w:rsid w:val="00BF71EF"/>
    <w:rsid w:val="00BF7CD9"/>
    <w:rsid w:val="00C021A2"/>
    <w:rsid w:val="00C029D5"/>
    <w:rsid w:val="00C0332C"/>
    <w:rsid w:val="00C038C6"/>
    <w:rsid w:val="00C04383"/>
    <w:rsid w:val="00C04C90"/>
    <w:rsid w:val="00C05316"/>
    <w:rsid w:val="00C07CC4"/>
    <w:rsid w:val="00C10498"/>
    <w:rsid w:val="00C10DE4"/>
    <w:rsid w:val="00C13286"/>
    <w:rsid w:val="00C1612D"/>
    <w:rsid w:val="00C16EAD"/>
    <w:rsid w:val="00C1760A"/>
    <w:rsid w:val="00C17EA2"/>
    <w:rsid w:val="00C20BF8"/>
    <w:rsid w:val="00C20DC4"/>
    <w:rsid w:val="00C21822"/>
    <w:rsid w:val="00C24388"/>
    <w:rsid w:val="00C25CBC"/>
    <w:rsid w:val="00C2630A"/>
    <w:rsid w:val="00C269E3"/>
    <w:rsid w:val="00C27BC9"/>
    <w:rsid w:val="00C3091E"/>
    <w:rsid w:val="00C30D4F"/>
    <w:rsid w:val="00C30D63"/>
    <w:rsid w:val="00C314F6"/>
    <w:rsid w:val="00C32323"/>
    <w:rsid w:val="00C32558"/>
    <w:rsid w:val="00C35327"/>
    <w:rsid w:val="00C36A7D"/>
    <w:rsid w:val="00C37405"/>
    <w:rsid w:val="00C374F5"/>
    <w:rsid w:val="00C37E0C"/>
    <w:rsid w:val="00C40355"/>
    <w:rsid w:val="00C4161F"/>
    <w:rsid w:val="00C41C69"/>
    <w:rsid w:val="00C42B3B"/>
    <w:rsid w:val="00C442FA"/>
    <w:rsid w:val="00C456F7"/>
    <w:rsid w:val="00C47BDD"/>
    <w:rsid w:val="00C47BF7"/>
    <w:rsid w:val="00C50C1A"/>
    <w:rsid w:val="00C5122B"/>
    <w:rsid w:val="00C512C2"/>
    <w:rsid w:val="00C51497"/>
    <w:rsid w:val="00C51584"/>
    <w:rsid w:val="00C51D42"/>
    <w:rsid w:val="00C51E01"/>
    <w:rsid w:val="00C52FA4"/>
    <w:rsid w:val="00C530E6"/>
    <w:rsid w:val="00C53963"/>
    <w:rsid w:val="00C53AA5"/>
    <w:rsid w:val="00C5733F"/>
    <w:rsid w:val="00C60090"/>
    <w:rsid w:val="00C6052D"/>
    <w:rsid w:val="00C61818"/>
    <w:rsid w:val="00C621AD"/>
    <w:rsid w:val="00C63930"/>
    <w:rsid w:val="00C66112"/>
    <w:rsid w:val="00C663B0"/>
    <w:rsid w:val="00C669B0"/>
    <w:rsid w:val="00C71824"/>
    <w:rsid w:val="00C7265B"/>
    <w:rsid w:val="00C72682"/>
    <w:rsid w:val="00C727CF"/>
    <w:rsid w:val="00C729E3"/>
    <w:rsid w:val="00C743CA"/>
    <w:rsid w:val="00C747E8"/>
    <w:rsid w:val="00C74A00"/>
    <w:rsid w:val="00C7742E"/>
    <w:rsid w:val="00C777C2"/>
    <w:rsid w:val="00C8055B"/>
    <w:rsid w:val="00C80A86"/>
    <w:rsid w:val="00C81ED5"/>
    <w:rsid w:val="00C825EF"/>
    <w:rsid w:val="00C82D43"/>
    <w:rsid w:val="00C83096"/>
    <w:rsid w:val="00C83248"/>
    <w:rsid w:val="00C84B10"/>
    <w:rsid w:val="00C85456"/>
    <w:rsid w:val="00C868E5"/>
    <w:rsid w:val="00C87D89"/>
    <w:rsid w:val="00C87E3C"/>
    <w:rsid w:val="00C87FC8"/>
    <w:rsid w:val="00C9188E"/>
    <w:rsid w:val="00C928B4"/>
    <w:rsid w:val="00C92960"/>
    <w:rsid w:val="00C94E30"/>
    <w:rsid w:val="00C950EF"/>
    <w:rsid w:val="00C958CA"/>
    <w:rsid w:val="00C960F3"/>
    <w:rsid w:val="00CA15B9"/>
    <w:rsid w:val="00CA3D47"/>
    <w:rsid w:val="00CA5AF2"/>
    <w:rsid w:val="00CA7890"/>
    <w:rsid w:val="00CB0232"/>
    <w:rsid w:val="00CB14EC"/>
    <w:rsid w:val="00CB2067"/>
    <w:rsid w:val="00CB2940"/>
    <w:rsid w:val="00CC08DF"/>
    <w:rsid w:val="00CC0D4E"/>
    <w:rsid w:val="00CC0F84"/>
    <w:rsid w:val="00CC1FA9"/>
    <w:rsid w:val="00CC21DB"/>
    <w:rsid w:val="00CC3463"/>
    <w:rsid w:val="00CC394C"/>
    <w:rsid w:val="00CC4253"/>
    <w:rsid w:val="00CC4C8E"/>
    <w:rsid w:val="00CC526F"/>
    <w:rsid w:val="00CC7369"/>
    <w:rsid w:val="00CC736E"/>
    <w:rsid w:val="00CD2B50"/>
    <w:rsid w:val="00CD2FDE"/>
    <w:rsid w:val="00CD44AE"/>
    <w:rsid w:val="00CD6A93"/>
    <w:rsid w:val="00CE1207"/>
    <w:rsid w:val="00CE1928"/>
    <w:rsid w:val="00CE1E29"/>
    <w:rsid w:val="00CE269D"/>
    <w:rsid w:val="00CE2A3A"/>
    <w:rsid w:val="00CE3195"/>
    <w:rsid w:val="00CE3AB5"/>
    <w:rsid w:val="00CE3CFC"/>
    <w:rsid w:val="00CE40E4"/>
    <w:rsid w:val="00CE42D9"/>
    <w:rsid w:val="00CE5607"/>
    <w:rsid w:val="00CE66FA"/>
    <w:rsid w:val="00CE67CD"/>
    <w:rsid w:val="00CE73E3"/>
    <w:rsid w:val="00CF0649"/>
    <w:rsid w:val="00CF0B04"/>
    <w:rsid w:val="00CF125C"/>
    <w:rsid w:val="00CF14C8"/>
    <w:rsid w:val="00CF17D1"/>
    <w:rsid w:val="00CF1868"/>
    <w:rsid w:val="00CF2037"/>
    <w:rsid w:val="00CF3597"/>
    <w:rsid w:val="00CF43DB"/>
    <w:rsid w:val="00CF4D41"/>
    <w:rsid w:val="00CF520B"/>
    <w:rsid w:val="00CF6272"/>
    <w:rsid w:val="00D00FBF"/>
    <w:rsid w:val="00D01941"/>
    <w:rsid w:val="00D0316F"/>
    <w:rsid w:val="00D0403B"/>
    <w:rsid w:val="00D04275"/>
    <w:rsid w:val="00D04335"/>
    <w:rsid w:val="00D04FFC"/>
    <w:rsid w:val="00D050A6"/>
    <w:rsid w:val="00D05D2A"/>
    <w:rsid w:val="00D05D57"/>
    <w:rsid w:val="00D078FD"/>
    <w:rsid w:val="00D109CF"/>
    <w:rsid w:val="00D11339"/>
    <w:rsid w:val="00D11818"/>
    <w:rsid w:val="00D133BD"/>
    <w:rsid w:val="00D136FF"/>
    <w:rsid w:val="00D13F72"/>
    <w:rsid w:val="00D13FF6"/>
    <w:rsid w:val="00D15FCC"/>
    <w:rsid w:val="00D1706E"/>
    <w:rsid w:val="00D1709F"/>
    <w:rsid w:val="00D214C9"/>
    <w:rsid w:val="00D24337"/>
    <w:rsid w:val="00D26C0C"/>
    <w:rsid w:val="00D30420"/>
    <w:rsid w:val="00D33487"/>
    <w:rsid w:val="00D33C9B"/>
    <w:rsid w:val="00D33FE8"/>
    <w:rsid w:val="00D34043"/>
    <w:rsid w:val="00D34726"/>
    <w:rsid w:val="00D3478D"/>
    <w:rsid w:val="00D34E63"/>
    <w:rsid w:val="00D3507C"/>
    <w:rsid w:val="00D369FE"/>
    <w:rsid w:val="00D379F6"/>
    <w:rsid w:val="00D37EBC"/>
    <w:rsid w:val="00D37F84"/>
    <w:rsid w:val="00D420C9"/>
    <w:rsid w:val="00D426CF"/>
    <w:rsid w:val="00D428BF"/>
    <w:rsid w:val="00D42AD1"/>
    <w:rsid w:val="00D432B8"/>
    <w:rsid w:val="00D43EC9"/>
    <w:rsid w:val="00D446FB"/>
    <w:rsid w:val="00D453AB"/>
    <w:rsid w:val="00D45E26"/>
    <w:rsid w:val="00D47325"/>
    <w:rsid w:val="00D5141F"/>
    <w:rsid w:val="00D533CE"/>
    <w:rsid w:val="00D5483C"/>
    <w:rsid w:val="00D54F53"/>
    <w:rsid w:val="00D54F72"/>
    <w:rsid w:val="00D568B2"/>
    <w:rsid w:val="00D56BF8"/>
    <w:rsid w:val="00D572CC"/>
    <w:rsid w:val="00D60CD3"/>
    <w:rsid w:val="00D6128E"/>
    <w:rsid w:val="00D61DC2"/>
    <w:rsid w:val="00D62238"/>
    <w:rsid w:val="00D62305"/>
    <w:rsid w:val="00D6298F"/>
    <w:rsid w:val="00D63C9F"/>
    <w:rsid w:val="00D641E8"/>
    <w:rsid w:val="00D64AFB"/>
    <w:rsid w:val="00D653AF"/>
    <w:rsid w:val="00D66E3D"/>
    <w:rsid w:val="00D6718B"/>
    <w:rsid w:val="00D70910"/>
    <w:rsid w:val="00D72FA8"/>
    <w:rsid w:val="00D73A74"/>
    <w:rsid w:val="00D76F51"/>
    <w:rsid w:val="00D77B34"/>
    <w:rsid w:val="00D77CF1"/>
    <w:rsid w:val="00D82671"/>
    <w:rsid w:val="00D827F5"/>
    <w:rsid w:val="00D8302A"/>
    <w:rsid w:val="00D836CC"/>
    <w:rsid w:val="00D8549B"/>
    <w:rsid w:val="00D85B9B"/>
    <w:rsid w:val="00D85DC4"/>
    <w:rsid w:val="00D874BB"/>
    <w:rsid w:val="00D87EA6"/>
    <w:rsid w:val="00D90D28"/>
    <w:rsid w:val="00D925BF"/>
    <w:rsid w:val="00D936DC"/>
    <w:rsid w:val="00D93F08"/>
    <w:rsid w:val="00D946FC"/>
    <w:rsid w:val="00D94DB8"/>
    <w:rsid w:val="00D97268"/>
    <w:rsid w:val="00D9776D"/>
    <w:rsid w:val="00DA0472"/>
    <w:rsid w:val="00DA0A7A"/>
    <w:rsid w:val="00DA13A9"/>
    <w:rsid w:val="00DA1C25"/>
    <w:rsid w:val="00DA21AE"/>
    <w:rsid w:val="00DA400A"/>
    <w:rsid w:val="00DA5B0C"/>
    <w:rsid w:val="00DA5E18"/>
    <w:rsid w:val="00DA6148"/>
    <w:rsid w:val="00DA6CB6"/>
    <w:rsid w:val="00DB096B"/>
    <w:rsid w:val="00DB0D8E"/>
    <w:rsid w:val="00DB10A8"/>
    <w:rsid w:val="00DB1412"/>
    <w:rsid w:val="00DB2E72"/>
    <w:rsid w:val="00DB2F96"/>
    <w:rsid w:val="00DB3B7A"/>
    <w:rsid w:val="00DB3EC3"/>
    <w:rsid w:val="00DB6630"/>
    <w:rsid w:val="00DB698E"/>
    <w:rsid w:val="00DB7413"/>
    <w:rsid w:val="00DC07DD"/>
    <w:rsid w:val="00DC0CA5"/>
    <w:rsid w:val="00DC2101"/>
    <w:rsid w:val="00DC445C"/>
    <w:rsid w:val="00DC4596"/>
    <w:rsid w:val="00DC4DDD"/>
    <w:rsid w:val="00DC547B"/>
    <w:rsid w:val="00DC6D46"/>
    <w:rsid w:val="00DC7871"/>
    <w:rsid w:val="00DC79F9"/>
    <w:rsid w:val="00DD0500"/>
    <w:rsid w:val="00DD0600"/>
    <w:rsid w:val="00DD26A1"/>
    <w:rsid w:val="00DD2D1E"/>
    <w:rsid w:val="00DD38F4"/>
    <w:rsid w:val="00DD478C"/>
    <w:rsid w:val="00DD4AEE"/>
    <w:rsid w:val="00DD4BBD"/>
    <w:rsid w:val="00DD5252"/>
    <w:rsid w:val="00DD5FB3"/>
    <w:rsid w:val="00DD6D34"/>
    <w:rsid w:val="00DE2C3F"/>
    <w:rsid w:val="00DE4721"/>
    <w:rsid w:val="00DE4B31"/>
    <w:rsid w:val="00DE5411"/>
    <w:rsid w:val="00DE7765"/>
    <w:rsid w:val="00DF0581"/>
    <w:rsid w:val="00DF09ED"/>
    <w:rsid w:val="00DF15E6"/>
    <w:rsid w:val="00DF3702"/>
    <w:rsid w:val="00DF443E"/>
    <w:rsid w:val="00DF483A"/>
    <w:rsid w:val="00DF4F9E"/>
    <w:rsid w:val="00DF5498"/>
    <w:rsid w:val="00DF5737"/>
    <w:rsid w:val="00DF5A53"/>
    <w:rsid w:val="00DF6EF0"/>
    <w:rsid w:val="00DF75D8"/>
    <w:rsid w:val="00E000D3"/>
    <w:rsid w:val="00E00972"/>
    <w:rsid w:val="00E00CE5"/>
    <w:rsid w:val="00E0111B"/>
    <w:rsid w:val="00E01734"/>
    <w:rsid w:val="00E0216A"/>
    <w:rsid w:val="00E02170"/>
    <w:rsid w:val="00E02281"/>
    <w:rsid w:val="00E04182"/>
    <w:rsid w:val="00E0473A"/>
    <w:rsid w:val="00E06342"/>
    <w:rsid w:val="00E113C2"/>
    <w:rsid w:val="00E12B39"/>
    <w:rsid w:val="00E164D0"/>
    <w:rsid w:val="00E17FAB"/>
    <w:rsid w:val="00E200CA"/>
    <w:rsid w:val="00E201A2"/>
    <w:rsid w:val="00E2027A"/>
    <w:rsid w:val="00E206FC"/>
    <w:rsid w:val="00E20837"/>
    <w:rsid w:val="00E20CF8"/>
    <w:rsid w:val="00E20E02"/>
    <w:rsid w:val="00E210BB"/>
    <w:rsid w:val="00E214AA"/>
    <w:rsid w:val="00E22446"/>
    <w:rsid w:val="00E228ED"/>
    <w:rsid w:val="00E2364A"/>
    <w:rsid w:val="00E23725"/>
    <w:rsid w:val="00E237EA"/>
    <w:rsid w:val="00E244A5"/>
    <w:rsid w:val="00E24911"/>
    <w:rsid w:val="00E25568"/>
    <w:rsid w:val="00E25A88"/>
    <w:rsid w:val="00E25A8F"/>
    <w:rsid w:val="00E2612D"/>
    <w:rsid w:val="00E27A9C"/>
    <w:rsid w:val="00E27C70"/>
    <w:rsid w:val="00E27D9F"/>
    <w:rsid w:val="00E306CF"/>
    <w:rsid w:val="00E306FF"/>
    <w:rsid w:val="00E30DC4"/>
    <w:rsid w:val="00E317C1"/>
    <w:rsid w:val="00E32E4A"/>
    <w:rsid w:val="00E34A2A"/>
    <w:rsid w:val="00E35613"/>
    <w:rsid w:val="00E357C1"/>
    <w:rsid w:val="00E35BF5"/>
    <w:rsid w:val="00E35FA6"/>
    <w:rsid w:val="00E36421"/>
    <w:rsid w:val="00E413A2"/>
    <w:rsid w:val="00E419F4"/>
    <w:rsid w:val="00E4206B"/>
    <w:rsid w:val="00E427CD"/>
    <w:rsid w:val="00E42B27"/>
    <w:rsid w:val="00E42E9B"/>
    <w:rsid w:val="00E442C3"/>
    <w:rsid w:val="00E44624"/>
    <w:rsid w:val="00E45EDF"/>
    <w:rsid w:val="00E464C8"/>
    <w:rsid w:val="00E46A8A"/>
    <w:rsid w:val="00E46D76"/>
    <w:rsid w:val="00E4706B"/>
    <w:rsid w:val="00E50293"/>
    <w:rsid w:val="00E50686"/>
    <w:rsid w:val="00E506F1"/>
    <w:rsid w:val="00E51A6A"/>
    <w:rsid w:val="00E51DEA"/>
    <w:rsid w:val="00E52112"/>
    <w:rsid w:val="00E52CAD"/>
    <w:rsid w:val="00E53AB8"/>
    <w:rsid w:val="00E54194"/>
    <w:rsid w:val="00E5512F"/>
    <w:rsid w:val="00E568AA"/>
    <w:rsid w:val="00E57E1A"/>
    <w:rsid w:val="00E61D0E"/>
    <w:rsid w:val="00E63276"/>
    <w:rsid w:val="00E63A8E"/>
    <w:rsid w:val="00E720FD"/>
    <w:rsid w:val="00E72873"/>
    <w:rsid w:val="00E72ADA"/>
    <w:rsid w:val="00E73866"/>
    <w:rsid w:val="00E73A8E"/>
    <w:rsid w:val="00E73B2B"/>
    <w:rsid w:val="00E76CDB"/>
    <w:rsid w:val="00E77671"/>
    <w:rsid w:val="00E77E41"/>
    <w:rsid w:val="00E8176D"/>
    <w:rsid w:val="00E8269F"/>
    <w:rsid w:val="00E82C59"/>
    <w:rsid w:val="00E8357E"/>
    <w:rsid w:val="00E84DBB"/>
    <w:rsid w:val="00E8504E"/>
    <w:rsid w:val="00E8649A"/>
    <w:rsid w:val="00E86A0C"/>
    <w:rsid w:val="00E908D1"/>
    <w:rsid w:val="00E90EDF"/>
    <w:rsid w:val="00E91D06"/>
    <w:rsid w:val="00E9220C"/>
    <w:rsid w:val="00E92EDC"/>
    <w:rsid w:val="00E945BD"/>
    <w:rsid w:val="00E948B4"/>
    <w:rsid w:val="00E96D3A"/>
    <w:rsid w:val="00E96DD5"/>
    <w:rsid w:val="00E97B6D"/>
    <w:rsid w:val="00EA0741"/>
    <w:rsid w:val="00EA0DDA"/>
    <w:rsid w:val="00EA1B0B"/>
    <w:rsid w:val="00EA2083"/>
    <w:rsid w:val="00EA20F0"/>
    <w:rsid w:val="00EA263D"/>
    <w:rsid w:val="00EA2C54"/>
    <w:rsid w:val="00EA4361"/>
    <w:rsid w:val="00EA4B96"/>
    <w:rsid w:val="00EA5416"/>
    <w:rsid w:val="00EA5678"/>
    <w:rsid w:val="00EA5BCA"/>
    <w:rsid w:val="00EA61CC"/>
    <w:rsid w:val="00EA65E2"/>
    <w:rsid w:val="00EA6F41"/>
    <w:rsid w:val="00EB0466"/>
    <w:rsid w:val="00EB13EB"/>
    <w:rsid w:val="00EB20CD"/>
    <w:rsid w:val="00EB47D2"/>
    <w:rsid w:val="00EB4ABC"/>
    <w:rsid w:val="00EB5E05"/>
    <w:rsid w:val="00EB6704"/>
    <w:rsid w:val="00EB69EB"/>
    <w:rsid w:val="00EB6BC1"/>
    <w:rsid w:val="00EB6E9D"/>
    <w:rsid w:val="00EB6FA0"/>
    <w:rsid w:val="00EB707E"/>
    <w:rsid w:val="00EC2327"/>
    <w:rsid w:val="00EC629C"/>
    <w:rsid w:val="00ED0303"/>
    <w:rsid w:val="00ED08C2"/>
    <w:rsid w:val="00ED1B32"/>
    <w:rsid w:val="00ED58F5"/>
    <w:rsid w:val="00ED5A98"/>
    <w:rsid w:val="00ED616B"/>
    <w:rsid w:val="00ED6BBB"/>
    <w:rsid w:val="00EE0C68"/>
    <w:rsid w:val="00EE24D7"/>
    <w:rsid w:val="00EE2978"/>
    <w:rsid w:val="00EE29E7"/>
    <w:rsid w:val="00EE40C2"/>
    <w:rsid w:val="00EE4F04"/>
    <w:rsid w:val="00EE50B6"/>
    <w:rsid w:val="00EE50F2"/>
    <w:rsid w:val="00EE66CC"/>
    <w:rsid w:val="00EF12CB"/>
    <w:rsid w:val="00EF1CAF"/>
    <w:rsid w:val="00EF2F9E"/>
    <w:rsid w:val="00EF320A"/>
    <w:rsid w:val="00EF4784"/>
    <w:rsid w:val="00EF4E32"/>
    <w:rsid w:val="00EF58FF"/>
    <w:rsid w:val="00EF7F0D"/>
    <w:rsid w:val="00F00B8A"/>
    <w:rsid w:val="00F0149E"/>
    <w:rsid w:val="00F028B1"/>
    <w:rsid w:val="00F02BD7"/>
    <w:rsid w:val="00F0435F"/>
    <w:rsid w:val="00F056B8"/>
    <w:rsid w:val="00F05B14"/>
    <w:rsid w:val="00F072C4"/>
    <w:rsid w:val="00F07905"/>
    <w:rsid w:val="00F07FF9"/>
    <w:rsid w:val="00F10F81"/>
    <w:rsid w:val="00F12EF6"/>
    <w:rsid w:val="00F17E70"/>
    <w:rsid w:val="00F20236"/>
    <w:rsid w:val="00F20FB8"/>
    <w:rsid w:val="00F21B2F"/>
    <w:rsid w:val="00F21C0F"/>
    <w:rsid w:val="00F21E2D"/>
    <w:rsid w:val="00F230CD"/>
    <w:rsid w:val="00F23BE1"/>
    <w:rsid w:val="00F23F1C"/>
    <w:rsid w:val="00F267F4"/>
    <w:rsid w:val="00F26F54"/>
    <w:rsid w:val="00F2712A"/>
    <w:rsid w:val="00F27812"/>
    <w:rsid w:val="00F2784F"/>
    <w:rsid w:val="00F27B9B"/>
    <w:rsid w:val="00F310C4"/>
    <w:rsid w:val="00F3224C"/>
    <w:rsid w:val="00F33C22"/>
    <w:rsid w:val="00F34128"/>
    <w:rsid w:val="00F369BE"/>
    <w:rsid w:val="00F36C18"/>
    <w:rsid w:val="00F36F05"/>
    <w:rsid w:val="00F37182"/>
    <w:rsid w:val="00F37320"/>
    <w:rsid w:val="00F40B20"/>
    <w:rsid w:val="00F41B57"/>
    <w:rsid w:val="00F4424B"/>
    <w:rsid w:val="00F451EF"/>
    <w:rsid w:val="00F4530B"/>
    <w:rsid w:val="00F45F04"/>
    <w:rsid w:val="00F467E5"/>
    <w:rsid w:val="00F46FAC"/>
    <w:rsid w:val="00F519A2"/>
    <w:rsid w:val="00F52701"/>
    <w:rsid w:val="00F53C0E"/>
    <w:rsid w:val="00F54DA4"/>
    <w:rsid w:val="00F55065"/>
    <w:rsid w:val="00F56668"/>
    <w:rsid w:val="00F56725"/>
    <w:rsid w:val="00F56F38"/>
    <w:rsid w:val="00F57E55"/>
    <w:rsid w:val="00F57E73"/>
    <w:rsid w:val="00F57F22"/>
    <w:rsid w:val="00F57F31"/>
    <w:rsid w:val="00F57F67"/>
    <w:rsid w:val="00F60372"/>
    <w:rsid w:val="00F61936"/>
    <w:rsid w:val="00F619DE"/>
    <w:rsid w:val="00F61A68"/>
    <w:rsid w:val="00F63767"/>
    <w:rsid w:val="00F63AD8"/>
    <w:rsid w:val="00F64361"/>
    <w:rsid w:val="00F658ED"/>
    <w:rsid w:val="00F65F14"/>
    <w:rsid w:val="00F65FE7"/>
    <w:rsid w:val="00F66B96"/>
    <w:rsid w:val="00F66BD7"/>
    <w:rsid w:val="00F70A5A"/>
    <w:rsid w:val="00F70E4E"/>
    <w:rsid w:val="00F71A09"/>
    <w:rsid w:val="00F729E6"/>
    <w:rsid w:val="00F72F9A"/>
    <w:rsid w:val="00F736CE"/>
    <w:rsid w:val="00F7494D"/>
    <w:rsid w:val="00F76EC1"/>
    <w:rsid w:val="00F800C5"/>
    <w:rsid w:val="00F813EF"/>
    <w:rsid w:val="00F83553"/>
    <w:rsid w:val="00F84193"/>
    <w:rsid w:val="00F84262"/>
    <w:rsid w:val="00F84398"/>
    <w:rsid w:val="00F85CCC"/>
    <w:rsid w:val="00F86733"/>
    <w:rsid w:val="00F914A4"/>
    <w:rsid w:val="00F91C5B"/>
    <w:rsid w:val="00F91D5C"/>
    <w:rsid w:val="00F94229"/>
    <w:rsid w:val="00F94397"/>
    <w:rsid w:val="00F95B43"/>
    <w:rsid w:val="00F96A9E"/>
    <w:rsid w:val="00FA0820"/>
    <w:rsid w:val="00FA0991"/>
    <w:rsid w:val="00FA10E9"/>
    <w:rsid w:val="00FA1337"/>
    <w:rsid w:val="00FA58A9"/>
    <w:rsid w:val="00FA79DC"/>
    <w:rsid w:val="00FA7AC7"/>
    <w:rsid w:val="00FB0E0A"/>
    <w:rsid w:val="00FB2E55"/>
    <w:rsid w:val="00FB38B1"/>
    <w:rsid w:val="00FB38DC"/>
    <w:rsid w:val="00FB394B"/>
    <w:rsid w:val="00FB42BD"/>
    <w:rsid w:val="00FB54BB"/>
    <w:rsid w:val="00FB5506"/>
    <w:rsid w:val="00FB6C31"/>
    <w:rsid w:val="00FC0FE6"/>
    <w:rsid w:val="00FC23AE"/>
    <w:rsid w:val="00FC25D5"/>
    <w:rsid w:val="00FC41CD"/>
    <w:rsid w:val="00FC44D2"/>
    <w:rsid w:val="00FC47E9"/>
    <w:rsid w:val="00FC645C"/>
    <w:rsid w:val="00FC730E"/>
    <w:rsid w:val="00FD20EC"/>
    <w:rsid w:val="00FD3495"/>
    <w:rsid w:val="00FD373E"/>
    <w:rsid w:val="00FD3F7B"/>
    <w:rsid w:val="00FD525A"/>
    <w:rsid w:val="00FD760A"/>
    <w:rsid w:val="00FD783F"/>
    <w:rsid w:val="00FE0A51"/>
    <w:rsid w:val="00FE16A1"/>
    <w:rsid w:val="00FE3036"/>
    <w:rsid w:val="00FE568A"/>
    <w:rsid w:val="00FE6D0F"/>
    <w:rsid w:val="00FE6E3F"/>
    <w:rsid w:val="00FE75AF"/>
    <w:rsid w:val="00FF0928"/>
    <w:rsid w:val="00FF1A09"/>
    <w:rsid w:val="00FF1C08"/>
    <w:rsid w:val="00FF2AD0"/>
    <w:rsid w:val="00FF2CEF"/>
    <w:rsid w:val="00FF399E"/>
    <w:rsid w:val="0F292F48"/>
    <w:rsid w:val="21F923A5"/>
    <w:rsid w:val="23CA58EE"/>
    <w:rsid w:val="2D705AD8"/>
    <w:rsid w:val="31FF07B2"/>
    <w:rsid w:val="3BF072E6"/>
    <w:rsid w:val="47744A53"/>
    <w:rsid w:val="4BE04773"/>
    <w:rsid w:val="50300E3C"/>
    <w:rsid w:val="5DF40E3B"/>
    <w:rsid w:val="690274B0"/>
    <w:rsid w:val="6A404A24"/>
    <w:rsid w:val="74B25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widowControl/>
      <w:spacing w:line="520" w:lineRule="exact"/>
      <w:ind w:firstLine="200" w:firstLineChars="200"/>
      <w:outlineLvl w:val="2"/>
    </w:pPr>
    <w:rPr>
      <w:rFonts w:eastAsia="仿宋_GB2312"/>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jc w:val="left"/>
    </w:pPr>
  </w:style>
  <w:style w:type="paragraph" w:styleId="6">
    <w:name w:val="toc 3"/>
    <w:basedOn w:val="1"/>
    <w:next w:val="1"/>
    <w:unhideWhenUsed/>
    <w:qFormat/>
    <w:uiPriority w:val="39"/>
    <w:pPr>
      <w:ind w:left="840" w:leftChars="400"/>
    </w:pPr>
    <w:rPr>
      <w:rFonts w:eastAsia="仿宋_GB2312"/>
      <w:sz w:val="28"/>
    </w:rPr>
  </w:style>
  <w:style w:type="paragraph" w:styleId="7">
    <w:name w:val="Balloon Text"/>
    <w:basedOn w:val="1"/>
    <w:link w:val="27"/>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rPr>
      <w:rFonts w:eastAsia="黑体"/>
      <w:b/>
      <w:sz w:val="30"/>
    </w:rPr>
  </w:style>
  <w:style w:type="paragraph" w:styleId="11">
    <w:name w:val="toc 2"/>
    <w:basedOn w:val="1"/>
    <w:next w:val="1"/>
    <w:unhideWhenUsed/>
    <w:qFormat/>
    <w:uiPriority w:val="39"/>
    <w:pPr>
      <w:ind w:left="420" w:leftChars="200"/>
    </w:pPr>
    <w:rPr>
      <w:rFonts w:eastAsia="楷体_GB2312"/>
      <w:b/>
      <w:sz w:val="30"/>
    </w:rPr>
  </w:style>
  <w:style w:type="paragraph" w:styleId="12">
    <w:name w:val="Title"/>
    <w:basedOn w:val="1"/>
    <w:next w:val="1"/>
    <w:link w:val="21"/>
    <w:qFormat/>
    <w:uiPriority w:val="99"/>
    <w:pPr>
      <w:spacing w:before="240" w:after="60"/>
      <w:jc w:val="center"/>
      <w:outlineLvl w:val="0"/>
    </w:pPr>
    <w:rPr>
      <w:rFonts w:ascii="Calibri" w:hAnsi="Calibri" w:eastAsia="宋体" w:cs="Times New Roman"/>
      <w:b/>
      <w:bCs/>
      <w:sz w:val="32"/>
      <w:szCs w:val="32"/>
    </w:rPr>
  </w:style>
  <w:style w:type="paragraph" w:styleId="13">
    <w:name w:val="annotation subject"/>
    <w:basedOn w:val="5"/>
    <w:next w:val="5"/>
    <w:link w:val="29"/>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customStyle="1" w:styleId="19">
    <w:name w:val="标题 1 字符"/>
    <w:basedOn w:val="16"/>
    <w:link w:val="2"/>
    <w:qFormat/>
    <w:uiPriority w:val="99"/>
    <w:rPr>
      <w:rFonts w:ascii="Calibri" w:hAnsi="Calibri" w:eastAsia="宋体" w:cs="Times New Roman"/>
      <w:b/>
      <w:bCs/>
      <w:kern w:val="44"/>
      <w:sz w:val="44"/>
      <w:szCs w:val="44"/>
    </w:rPr>
  </w:style>
  <w:style w:type="character" w:customStyle="1" w:styleId="20">
    <w:name w:val="标题 2 字符"/>
    <w:basedOn w:val="16"/>
    <w:link w:val="3"/>
    <w:qFormat/>
    <w:uiPriority w:val="9"/>
    <w:rPr>
      <w:rFonts w:asciiTheme="majorHAnsi" w:hAnsiTheme="majorHAnsi" w:eastAsiaTheme="majorEastAsia" w:cstheme="majorBidi"/>
      <w:b/>
      <w:bCs/>
      <w:sz w:val="32"/>
      <w:szCs w:val="32"/>
    </w:rPr>
  </w:style>
  <w:style w:type="character" w:customStyle="1" w:styleId="21">
    <w:name w:val="标题 字符"/>
    <w:basedOn w:val="16"/>
    <w:link w:val="12"/>
    <w:qFormat/>
    <w:uiPriority w:val="99"/>
    <w:rPr>
      <w:rFonts w:ascii="Calibri" w:hAnsi="Calibri" w:eastAsia="宋体" w:cs="Times New Roman"/>
      <w:b/>
      <w:bCs/>
      <w:sz w:val="32"/>
      <w:szCs w:val="32"/>
    </w:rPr>
  </w:style>
  <w:style w:type="character" w:customStyle="1" w:styleId="22">
    <w:name w:val="页眉 字符"/>
    <w:basedOn w:val="16"/>
    <w:link w:val="9"/>
    <w:qFormat/>
    <w:uiPriority w:val="99"/>
    <w:rPr>
      <w:sz w:val="18"/>
      <w:szCs w:val="18"/>
    </w:rPr>
  </w:style>
  <w:style w:type="character" w:customStyle="1" w:styleId="23">
    <w:name w:val="页脚 字符"/>
    <w:basedOn w:val="16"/>
    <w:link w:val="8"/>
    <w:qFormat/>
    <w:uiPriority w:val="99"/>
    <w:rPr>
      <w:sz w:val="18"/>
      <w:szCs w:val="18"/>
    </w:rPr>
  </w:style>
  <w:style w:type="character" w:customStyle="1" w:styleId="24">
    <w:name w:val="标题 3 字符"/>
    <w:basedOn w:val="16"/>
    <w:link w:val="4"/>
    <w:qFormat/>
    <w:uiPriority w:val="9"/>
    <w:rPr>
      <w:rFonts w:eastAsia="仿宋_GB2312"/>
      <w:b/>
      <w:bCs/>
      <w:sz w:val="32"/>
      <w:szCs w:val="32"/>
    </w:rPr>
  </w:style>
  <w:style w:type="paragraph" w:styleId="25">
    <w:name w:val="List Paragraph"/>
    <w:basedOn w:val="1"/>
    <w:qFormat/>
    <w:uiPriority w:val="34"/>
    <w:pPr>
      <w:ind w:firstLine="420" w:firstLineChars="200"/>
    </w:pPr>
  </w:style>
  <w:style w:type="table" w:customStyle="1" w:styleId="26">
    <w:name w:val="网格型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批注框文本 字符"/>
    <w:basedOn w:val="16"/>
    <w:link w:val="7"/>
    <w:semiHidden/>
    <w:qFormat/>
    <w:uiPriority w:val="99"/>
    <w:rPr>
      <w:sz w:val="18"/>
      <w:szCs w:val="18"/>
    </w:rPr>
  </w:style>
  <w:style w:type="character" w:customStyle="1" w:styleId="28">
    <w:name w:val="批注文字 字符"/>
    <w:basedOn w:val="16"/>
    <w:link w:val="5"/>
    <w:semiHidden/>
    <w:qFormat/>
    <w:uiPriority w:val="99"/>
  </w:style>
  <w:style w:type="character" w:customStyle="1" w:styleId="29">
    <w:name w:val="批注主题 字符"/>
    <w:basedOn w:val="28"/>
    <w:link w:val="13"/>
    <w:semiHidden/>
    <w:qFormat/>
    <w:uiPriority w:val="99"/>
    <w:rPr>
      <w:b/>
      <w:bCs/>
    </w:rPr>
  </w:style>
  <w:style w:type="paragraph" w:customStyle="1" w:styleId="30">
    <w:name w:val="_Style 26"/>
    <w:basedOn w:val="1"/>
    <w:qFormat/>
    <w:uiPriority w:val="0"/>
    <w:rPr>
      <w:rFonts w:ascii="Tahoma" w:hAnsi="Tahoma" w:eastAsia="方正仿宋简体" w:cs="Times New Roman"/>
      <w:sz w:val="24"/>
      <w:szCs w:val="24"/>
    </w:rPr>
  </w:style>
  <w:style w:type="table" w:customStyle="1" w:styleId="31">
    <w:name w:val="网格型2"/>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网格型1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EI\Desktop\&#26032;&#24314;%20Microsoft%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94040368875443"/>
          <c:y val="0.206177879442601"/>
          <c:w val="0.898067954835502"/>
          <c:h val="0.590765085844998"/>
        </c:manualLayout>
      </c:layout>
      <c:barChart>
        <c:barDir val="col"/>
        <c:grouping val="clustered"/>
        <c:varyColors val="0"/>
        <c:ser>
          <c:idx val="0"/>
          <c:order val="0"/>
          <c:tx>
            <c:strRef>
              <c:f>财政!$F$7</c:f>
              <c:strCache>
                <c:ptCount val="1"/>
                <c:pt idx="0">
                  <c:v>地方一般公共预算收入（亿元）</c:v>
                </c:pt>
              </c:strCache>
            </c:strRef>
          </c:tx>
          <c:spPr>
            <a:solidFill>
              <a:srgbClr val="C00000"/>
            </a:solidFill>
            <a:ln>
              <a:noFill/>
            </a:ln>
            <a:effectLst/>
          </c:spPr>
          <c:invertIfNegative val="0"/>
          <c:dLbls>
            <c:dLbl>
              <c:idx val="1"/>
              <c:layout/>
              <c:numFmt formatCode="General" sourceLinked="1"/>
              <c:spPr>
                <a:noFill/>
                <a:ln>
                  <a:noFill/>
                </a:ln>
                <a:effectLst/>
              </c:spPr>
              <c:txPr>
                <a:bodyPr rot="0" spcFirstLastPara="1" vertOverflow="ellipsis" vert="horz" wrap="square" lIns="38100" tIns="19050" rIns="38100" bIns="19050" anchor="ctr" anchorCtr="1"/>
                <a:lstStyle/>
                <a:p>
                  <a:pPr algn="ctr">
                    <a:defRPr lang="zh-CN" sz="1200" b="1" i="0" u="none" strike="noStrike" kern="1200" baseline="0">
                      <a:solidFill>
                        <a:srgbClr val="C00000"/>
                      </a:solidFill>
                      <a:latin typeface="微软雅黑" panose="020B0503020204020204" pitchFamily="2" charset="-122"/>
                      <a:ea typeface="微软雅黑" panose="020B0503020204020204" pitchFamily="2" charset="-122"/>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lstStyle/>
              <a:p>
                <a:pPr algn="ctr">
                  <a:defRPr lang="zh-CN" sz="1200" b="1"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财政!$E$8:$E$11</c:f>
              <c:strCache>
                <c:ptCount val="4"/>
                <c:pt idx="0">
                  <c:v>大庆高新区（60）</c:v>
                </c:pt>
                <c:pt idx="1">
                  <c:v>玉溪高新区（59）</c:v>
                </c:pt>
                <c:pt idx="2">
                  <c:v>荆门高新区（58）</c:v>
                </c:pt>
                <c:pt idx="3">
                  <c:v>贵阳高新区（50）</c:v>
                </c:pt>
              </c:strCache>
            </c:strRef>
          </c:cat>
          <c:val>
            <c:numRef>
              <c:f>财政!$F$8:$F$11</c:f>
              <c:numCache>
                <c:formatCode>0.0</c:formatCode>
                <c:ptCount val="4"/>
                <c:pt idx="0">
                  <c:v>15.36</c:v>
                </c:pt>
                <c:pt idx="1">
                  <c:v>5.29</c:v>
                </c:pt>
                <c:pt idx="2">
                  <c:v>14</c:v>
                </c:pt>
                <c:pt idx="3">
                  <c:v>15.5</c:v>
                </c:pt>
              </c:numCache>
            </c:numRef>
          </c:val>
        </c:ser>
        <c:ser>
          <c:idx val="1"/>
          <c:order val="1"/>
          <c:tx>
            <c:strRef>
              <c:f>财政!$G$7</c:f>
              <c:strCache>
                <c:ptCount val="1"/>
                <c:pt idx="0">
                  <c:v>政府性基金收入（亿元）</c:v>
                </c:pt>
              </c:strCache>
            </c:strRef>
          </c:tx>
          <c:spPr>
            <a:solidFill>
              <a:schemeClr val="accent5">
                <a:lumMod val="50000"/>
              </a:schemeClr>
            </a:solidFill>
            <a:ln>
              <a:noFill/>
            </a:ln>
            <a:effectLst/>
          </c:spPr>
          <c:invertIfNegative val="0"/>
          <c:dLbls>
            <c:dLbl>
              <c:idx val="1"/>
              <c:layout/>
              <c:numFmt formatCode="General" sourceLinked="1"/>
              <c:spPr>
                <a:noFill/>
                <a:ln>
                  <a:noFill/>
                </a:ln>
                <a:effectLst/>
              </c:spPr>
              <c:txPr>
                <a:bodyPr rot="0" spcFirstLastPara="1" vertOverflow="ellipsis" vert="horz" wrap="square" lIns="38100" tIns="19050" rIns="38100" bIns="19050" anchor="ctr" anchorCtr="1"/>
                <a:lstStyle/>
                <a:p>
                  <a:pPr>
                    <a:defRPr lang="zh-CN" sz="1200" b="1" i="0" u="none" strike="noStrike" kern="1200" baseline="0">
                      <a:solidFill>
                        <a:schemeClr val="accent5">
                          <a:lumMod val="50000"/>
                        </a:schemeClr>
                      </a:solidFill>
                      <a:latin typeface="微软雅黑" panose="020B0503020204020204" pitchFamily="2" charset="-122"/>
                      <a:ea typeface="微软雅黑" panose="020B0503020204020204" pitchFamily="2" charset="-122"/>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lstStyle/>
              <a:p>
                <a:pPr>
                  <a:defRPr lang="zh-CN" sz="1200" b="1"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财政!$E$8:$E$11</c:f>
              <c:strCache>
                <c:ptCount val="4"/>
                <c:pt idx="0">
                  <c:v>大庆高新区（60）</c:v>
                </c:pt>
                <c:pt idx="1">
                  <c:v>玉溪高新区（59）</c:v>
                </c:pt>
                <c:pt idx="2">
                  <c:v>荆门高新区（58）</c:v>
                </c:pt>
                <c:pt idx="3">
                  <c:v>贵阳高新区（50）</c:v>
                </c:pt>
              </c:strCache>
            </c:strRef>
          </c:cat>
          <c:val>
            <c:numRef>
              <c:f>财政!$G$8:$G$11</c:f>
              <c:numCache>
                <c:formatCode>0.0</c:formatCode>
                <c:ptCount val="4"/>
                <c:pt idx="0">
                  <c:v>11.77</c:v>
                </c:pt>
                <c:pt idx="1">
                  <c:v>1.2</c:v>
                </c:pt>
                <c:pt idx="2">
                  <c:v>6.6</c:v>
                </c:pt>
                <c:pt idx="3">
                  <c:v>3.4</c:v>
                </c:pt>
              </c:numCache>
            </c:numRef>
          </c:val>
        </c:ser>
        <c:dLbls>
          <c:showLegendKey val="0"/>
          <c:showVal val="0"/>
          <c:showCatName val="0"/>
          <c:showSerName val="0"/>
          <c:showPercent val="0"/>
          <c:showBubbleSize val="0"/>
        </c:dLbls>
        <c:gapWidth val="219"/>
        <c:overlap val="-27"/>
        <c:axId val="647732576"/>
        <c:axId val="260269696"/>
      </c:barChart>
      <c:catAx>
        <c:axId val="64773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1" i="0" u="none" strike="noStrike" kern="1200" baseline="0">
                <a:solidFill>
                  <a:schemeClr val="tx1"/>
                </a:solidFill>
                <a:latin typeface="微软雅黑" panose="020B0503020204020204" pitchFamily="2" charset="-122"/>
                <a:ea typeface="微软雅黑" panose="020B0503020204020204" pitchFamily="2" charset="-122"/>
                <a:cs typeface="+mn-cs"/>
              </a:defRPr>
            </a:pPr>
          </a:p>
        </c:txPr>
        <c:crossAx val="260269696"/>
        <c:crosses val="autoZero"/>
        <c:auto val="1"/>
        <c:lblAlgn val="ctr"/>
        <c:lblOffset val="100"/>
        <c:noMultiLvlLbl val="0"/>
      </c:catAx>
      <c:valAx>
        <c:axId val="260269696"/>
        <c:scaling>
          <c:orientation val="minMax"/>
        </c:scaling>
        <c:delete val="1"/>
        <c:axPos val="l"/>
        <c:numFmt formatCode="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pitchFamily="2" charset="-122"/>
                <a:ea typeface="微软雅黑" panose="020B0503020204020204" pitchFamily="2" charset="-122"/>
                <a:cs typeface="+mn-cs"/>
              </a:defRPr>
            </a:pPr>
          </a:p>
        </c:txPr>
        <c:crossAx val="647732576"/>
        <c:crosses val="autoZero"/>
        <c:crossBetween val="between"/>
      </c:valAx>
      <c:spPr>
        <a:solidFill>
          <a:sysClr val="window" lastClr="FFFFFF"/>
        </a:solidFill>
        <a:ln>
          <a:noFill/>
        </a:ln>
        <a:effectLst/>
      </c:spPr>
    </c:plotArea>
    <c:legend>
      <c:legendPos val="t"/>
      <c:layout/>
      <c:overlay val="0"/>
      <c:spPr>
        <a:noFill/>
        <a:ln>
          <a:noFill/>
        </a:ln>
        <a:effectLst/>
      </c:spPr>
      <c:txPr>
        <a:bodyPr rot="0" spcFirstLastPara="1" vertOverflow="ellipsis" vert="horz" wrap="square" anchor="ctr" anchorCtr="1"/>
        <a:lstStyle/>
        <a:p>
          <a:pPr>
            <a:defRPr lang="zh-CN" sz="1000" b="1" i="0" u="none" strike="noStrike" kern="1200" baseline="0">
              <a:solidFill>
                <a:schemeClr val="tx1"/>
              </a:solidFill>
              <a:latin typeface="微软雅黑" panose="020B0503020204020204" pitchFamily="2" charset="-122"/>
              <a:ea typeface="微软雅黑" panose="020B0503020204020204" pitchFamily="2"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微软雅黑" panose="020B0503020204020204" pitchFamily="2" charset="-122"/>
          <a:ea typeface="微软雅黑" panose="020B0503020204020204" pitchFamily="2"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0926763727883591"/>
          <c:y val="0.251907266744521"/>
          <c:w val="0.757003563054166"/>
          <c:h val="0.357564271479001"/>
        </c:manualLayout>
      </c:layout>
      <c:barChart>
        <c:barDir val="col"/>
        <c:grouping val="clustered"/>
        <c:varyColors val="0"/>
        <c:ser>
          <c:idx val="0"/>
          <c:order val="0"/>
          <c:tx>
            <c:strRef>
              <c:f>Sheet2!$G$5</c:f>
              <c:strCache>
                <c:ptCount val="1"/>
                <c:pt idx="0">
                  <c:v>本级可用财力（亿元）</c:v>
                </c:pt>
              </c:strCache>
            </c:strRef>
          </c:tx>
          <c:spPr>
            <a:solidFill>
              <a:schemeClr val="accent5">
                <a:shade val="76000"/>
              </a:schemeClr>
            </a:solidFill>
            <a:ln>
              <a:noFill/>
            </a:ln>
            <a:effectLst/>
          </c:spPr>
          <c:invertIfNegative val="0"/>
          <c:dLbls>
            <c:dLbl>
              <c:idx val="0"/>
              <c:layout>
                <c:manualLayout>
                  <c:x val="0.00680360666153447"/>
                  <c:y val="0.23863292310046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05155955271899"/>
                  <c:y val="0.1568487761219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200" b="1" i="0" u="none" strike="noStrike" kern="1200" baseline="0">
                    <a:solidFill>
                      <a:schemeClr val="bg1"/>
                    </a:solidFill>
                    <a:latin typeface="微软雅黑" panose="020B0503020204020204" pitchFamily="2" charset="-122"/>
                    <a:ea typeface="微软雅黑" panose="020B0503020204020204" pitchFamily="2"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Sheet2!$F$6:$F$7</c:f>
              <c:numCache>
                <c:formatCode>General</c:formatCode>
                <c:ptCount val="2"/>
                <c:pt idx="0">
                  <c:v>2016</c:v>
                </c:pt>
                <c:pt idx="1">
                  <c:v>2018</c:v>
                </c:pt>
              </c:numCache>
            </c:numRef>
          </c:cat>
          <c:val>
            <c:numRef>
              <c:f>Sheet2!$G$6:$G$7</c:f>
              <c:numCache>
                <c:formatCode>General</c:formatCode>
                <c:ptCount val="2"/>
                <c:pt idx="0">
                  <c:v>5.5</c:v>
                </c:pt>
                <c:pt idx="1">
                  <c:v>4.88</c:v>
                </c:pt>
              </c:numCache>
            </c:numRef>
          </c:val>
        </c:ser>
        <c:dLbls>
          <c:showLegendKey val="0"/>
          <c:showVal val="0"/>
          <c:showCatName val="0"/>
          <c:showSerName val="0"/>
          <c:showPercent val="0"/>
          <c:showBubbleSize val="0"/>
        </c:dLbls>
        <c:gapWidth val="219"/>
        <c:overlap val="-27"/>
        <c:axId val="260272496"/>
        <c:axId val="260273056"/>
      </c:barChart>
      <c:lineChart>
        <c:grouping val="stacked"/>
        <c:varyColors val="0"/>
        <c:ser>
          <c:idx val="1"/>
          <c:order val="1"/>
          <c:tx>
            <c:strRef>
              <c:f>Sheet2!$H$5</c:f>
              <c:strCache>
                <c:ptCount val="1"/>
                <c:pt idx="0">
                  <c:v>可用财力占一般公共预算收入的比重（%）</c:v>
                </c:pt>
              </c:strCache>
            </c:strRef>
          </c:tx>
          <c:spPr>
            <a:ln w="28575" cap="rnd">
              <a:solidFill>
                <a:schemeClr val="accent5">
                  <a:tint val="77000"/>
                </a:schemeClr>
              </a:solidFill>
              <a:round/>
            </a:ln>
            <a:effectLst/>
          </c:spPr>
          <c:marker>
            <c:symbol val="circle"/>
            <c:size val="5"/>
            <c:spPr>
              <a:solidFill>
                <a:schemeClr val="accent5">
                  <a:tint val="77000"/>
                </a:schemeClr>
              </a:solidFill>
              <a:ln w="9525">
                <a:solidFill>
                  <a:schemeClr val="accent5">
                    <a:tint val="77000"/>
                  </a:schemeClr>
                </a:solidFill>
              </a:ln>
              <a:effectLst/>
            </c:spPr>
          </c:marker>
          <c:dLbls>
            <c:dLbl>
              <c:idx val="0"/>
              <c:layout>
                <c:manualLayout>
                  <c:x val="-0.106118853115489"/>
                  <c:y val="-0.04787069495321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08216399692071"/>
                  <c:y val="0.064023743322076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200" b="1"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Sheet2!$F$6:$F$7</c:f>
              <c:numCache>
                <c:formatCode>General</c:formatCode>
                <c:ptCount val="2"/>
                <c:pt idx="0">
                  <c:v>2016</c:v>
                </c:pt>
                <c:pt idx="1">
                  <c:v>2018</c:v>
                </c:pt>
              </c:numCache>
            </c:numRef>
          </c:cat>
          <c:val>
            <c:numRef>
              <c:f>Sheet2!$H$6:$H$7</c:f>
              <c:numCache>
                <c:formatCode>0.00%</c:formatCode>
                <c:ptCount val="2"/>
                <c:pt idx="0">
                  <c:v>0.933</c:v>
                </c:pt>
                <c:pt idx="1">
                  <c:v>0.697</c:v>
                </c:pt>
              </c:numCache>
            </c:numRef>
          </c:val>
          <c:smooth val="0"/>
        </c:ser>
        <c:dLbls>
          <c:showLegendKey val="0"/>
          <c:showVal val="0"/>
          <c:showCatName val="0"/>
          <c:showSerName val="0"/>
          <c:showPercent val="0"/>
          <c:showBubbleSize val="0"/>
        </c:dLbls>
        <c:marker val="1"/>
        <c:smooth val="0"/>
        <c:axId val="199499856"/>
        <c:axId val="199500416"/>
      </c:lineChart>
      <c:catAx>
        <c:axId val="26027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50" b="1" i="0" u="none" strike="noStrike" kern="1200" baseline="0">
                <a:solidFill>
                  <a:schemeClr val="tx1"/>
                </a:solidFill>
                <a:latin typeface="微软雅黑" panose="020B0503020204020204" pitchFamily="2" charset="-122"/>
                <a:ea typeface="微软雅黑" panose="020B0503020204020204" pitchFamily="2" charset="-122"/>
                <a:cs typeface="+mn-cs"/>
              </a:defRPr>
            </a:pPr>
          </a:p>
        </c:txPr>
        <c:crossAx val="260273056"/>
        <c:crosses val="autoZero"/>
        <c:auto val="1"/>
        <c:lblAlgn val="ctr"/>
        <c:lblOffset val="100"/>
        <c:noMultiLvlLbl val="0"/>
      </c:catAx>
      <c:valAx>
        <c:axId val="2602730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60272496"/>
        <c:crosses val="autoZero"/>
        <c:crossBetween val="between"/>
      </c:valAx>
      <c:catAx>
        <c:axId val="199499856"/>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500416"/>
        <c:crosses val="autoZero"/>
        <c:auto val="1"/>
        <c:lblAlgn val="ctr"/>
        <c:lblOffset val="100"/>
        <c:noMultiLvlLbl val="0"/>
      </c:catAx>
      <c:valAx>
        <c:axId val="199500416"/>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199499856"/>
        <c:crosses val="max"/>
        <c:crossBetween val="between"/>
      </c:valAx>
      <c:spPr>
        <a:solidFill>
          <a:schemeClr val="bg1"/>
        </a:solidFill>
        <a:ln>
          <a:noFill/>
        </a:ln>
        <a:effectLst/>
      </c:spPr>
    </c:plotArea>
    <c:legend>
      <c:legendPos val="b"/>
      <c:layout/>
      <c:overlay val="0"/>
      <c:spPr>
        <a:noFill/>
        <a:ln>
          <a:noFill/>
        </a:ln>
        <a:effectLst/>
      </c:spPr>
      <c:txPr>
        <a:bodyPr rot="0" spcFirstLastPara="1" vertOverflow="ellipsis" vert="horz" wrap="square" anchor="ctr" anchorCtr="1"/>
        <a:lstStyle/>
        <a:p>
          <a:pPr>
            <a:defRPr lang="zh-CN" sz="1000" b="1" i="0" u="none" strike="noStrike" kern="1200" baseline="0">
              <a:solidFill>
                <a:schemeClr val="tx1"/>
              </a:solidFill>
              <a:latin typeface="微软雅黑" panose="020B0503020204020204" pitchFamily="2" charset="-122"/>
              <a:ea typeface="微软雅黑" panose="020B0503020204020204" pitchFamily="2"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05322-BA90-4DF4-AD06-4CC3CF5B6B5C}">
  <ds:schemaRefs/>
</ds:datastoreItem>
</file>

<file path=docProps/app.xml><?xml version="1.0" encoding="utf-8"?>
<Properties xmlns="http://schemas.openxmlformats.org/officeDocument/2006/extended-properties" xmlns:vt="http://schemas.openxmlformats.org/officeDocument/2006/docPropsVTypes">
  <Template>Normal</Template>
  <Pages>84</Pages>
  <Words>43733</Words>
  <Characters>46503</Characters>
  <Lines>362</Lines>
  <Paragraphs>102</Paragraphs>
  <TotalTime>1</TotalTime>
  <ScaleCrop>false</ScaleCrop>
  <LinksUpToDate>false</LinksUpToDate>
  <CharactersWithSpaces>46596</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2021-08-09T06:17:00Z</dcterms:created>
  <dc:creator>GEI</dc:creator>
  <cp:lastModifiedBy>青溪L</cp:lastModifiedBy>
  <cp:lastPrinted>2020-07-21T16:26:00Z</cp:lastPrinted>
  <dcterms:modified xsi:type="dcterms:W3CDTF">2024-08-12T07:43:22Z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DACB19500C7B4FCEA0C82962798E1B23_13</vt:lpwstr>
  </property>
</Properties>
</file>