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</w:t>
      </w:r>
      <w:r>
        <w:rPr>
          <w:rFonts w:hint="eastAsia"/>
          <w:b/>
          <w:bCs/>
          <w:sz w:val="36"/>
          <w:szCs w:val="36"/>
          <w:lang w:val="en-US" w:eastAsia="zh-CN"/>
        </w:rPr>
        <w:t>谈判</w:t>
      </w:r>
      <w:r>
        <w:rPr>
          <w:rFonts w:hint="eastAsia"/>
          <w:b/>
          <w:bCs/>
          <w:sz w:val="36"/>
          <w:szCs w:val="36"/>
        </w:rPr>
        <w:t>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HCZB2024017F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  <w:u w:val="none"/>
              </w:rPr>
            </w:pPr>
            <w:r>
              <w:rPr>
                <w:rFonts w:hint="eastAsia" w:ascii="宋体" w:hAnsi="宋体"/>
                <w:bCs/>
                <w:sz w:val="24"/>
                <w:u w:val="none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玉溪市通海县城乡供水一体化三年行动项目保险经纪服务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240" w:firstLineChars="100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56F56CA4"/>
    <w:rsid w:val="75075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181</Characters>
  <Lines>1</Lines>
  <Paragraphs>1</Paragraphs>
  <TotalTime>0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2024-08-01T08:39:11Z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6181932F2E3A4F788F779011F8ADEFCF_12</vt:lpwstr>
  </property>
</Properties>
</file>